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6B9290">
      <w:pPr>
        <w:jc w:val="center"/>
        <w:rPr>
          <w:rFonts w:hint="default" w:ascii="宋体" w:hAnsi="宋体" w:eastAsiaTheme="minorEastAsia"/>
          <w:b/>
          <w:bCs/>
          <w:sz w:val="44"/>
          <w:szCs w:val="44"/>
          <w:lang w:val="en-US" w:eastAsia="zh-CN"/>
        </w:rPr>
      </w:pPr>
      <w:r>
        <w:rPr>
          <w:rFonts w:hint="eastAsia" w:ascii="宋体" w:hAnsi="宋体" w:cs="Calibri"/>
          <w:b/>
          <w:color w:val="000000"/>
          <w:sz w:val="48"/>
          <w:szCs w:val="48"/>
        </w:rPr>
        <w:t>广州美术学院</w:t>
      </w:r>
      <w:r>
        <w:rPr>
          <w:rFonts w:hint="eastAsia" w:ascii="宋体" w:hAnsi="宋体" w:cs="Calibri"/>
          <w:b/>
          <w:color w:val="000000"/>
          <w:sz w:val="48"/>
          <w:szCs w:val="48"/>
          <w:lang w:val="en-US" w:eastAsia="zh-CN"/>
        </w:rPr>
        <w:t>综合</w:t>
      </w:r>
      <w:r>
        <w:rPr>
          <w:rFonts w:hint="eastAsia" w:ascii="宋体" w:hAnsi="宋体" w:cs="Calibri"/>
          <w:b/>
          <w:color w:val="000000"/>
          <w:sz w:val="48"/>
          <w:szCs w:val="48"/>
        </w:rPr>
        <w:t>档案室气体灭火</w:t>
      </w:r>
      <w:r>
        <w:rPr>
          <w:rFonts w:hint="eastAsia" w:ascii="宋体" w:hAnsi="宋体" w:cs="Calibri"/>
          <w:b/>
          <w:color w:val="000000"/>
          <w:sz w:val="48"/>
          <w:szCs w:val="48"/>
          <w:lang w:val="en-US" w:eastAsia="zh-CN"/>
        </w:rPr>
        <w:t>消防</w:t>
      </w:r>
      <w:r>
        <w:rPr>
          <w:rFonts w:hint="eastAsia" w:ascii="宋体" w:hAnsi="宋体" w:cs="Calibri"/>
          <w:b/>
          <w:color w:val="000000"/>
          <w:sz w:val="48"/>
          <w:szCs w:val="48"/>
        </w:rPr>
        <w:t>系统</w:t>
      </w:r>
      <w:r>
        <w:rPr>
          <w:rFonts w:hint="eastAsia" w:ascii="宋体" w:hAnsi="宋体" w:cs="Calibri"/>
          <w:b/>
          <w:color w:val="000000"/>
          <w:sz w:val="48"/>
          <w:szCs w:val="48"/>
          <w:lang w:val="en-US" w:eastAsia="zh-CN"/>
        </w:rPr>
        <w:t>建设</w:t>
      </w:r>
      <w:r>
        <w:rPr>
          <w:rFonts w:hint="eastAsia" w:ascii="宋体" w:hAnsi="宋体" w:cs="Calibri"/>
          <w:b/>
          <w:color w:val="000000"/>
          <w:sz w:val="48"/>
          <w:szCs w:val="48"/>
        </w:rPr>
        <w:t>项目</w:t>
      </w:r>
      <w:r>
        <w:rPr>
          <w:rFonts w:hint="eastAsia" w:ascii="宋体" w:hAnsi="宋体" w:cs="Calibri"/>
          <w:b/>
          <w:color w:val="000000"/>
          <w:sz w:val="48"/>
          <w:szCs w:val="48"/>
          <w:lang w:eastAsia="zh-CN"/>
        </w:rPr>
        <w:t>（</w:t>
      </w:r>
      <w:r>
        <w:rPr>
          <w:rFonts w:hint="eastAsia" w:ascii="宋体" w:hAnsi="宋体" w:cs="Calibri"/>
          <w:b/>
          <w:color w:val="000000"/>
          <w:sz w:val="48"/>
          <w:szCs w:val="48"/>
          <w:lang w:val="en-US" w:eastAsia="zh-CN"/>
        </w:rPr>
        <w:t>三次）</w:t>
      </w:r>
    </w:p>
    <w:p w14:paraId="0D9092D9">
      <w:pPr>
        <w:keepNext w:val="0"/>
        <w:keepLines w:val="0"/>
        <w:widowControl w:val="0"/>
        <w:suppressLineNumbers w:val="0"/>
        <w:adjustRightInd w:val="0"/>
        <w:snapToGrid w:val="0"/>
        <w:spacing w:before="0" w:beforeAutospacing="0" w:after="0" w:afterAutospacing="0" w:line="300" w:lineRule="auto"/>
        <w:ind w:left="0" w:right="0"/>
        <w:jc w:val="both"/>
        <w:rPr>
          <w:rFonts w:hint="default" w:ascii="Times New Roman" w:hAnsi="Times New Roman" w:eastAsia="仿宋" w:cs="Times New Roman"/>
          <w:kern w:val="2"/>
          <w:sz w:val="44"/>
          <w:szCs w:val="44"/>
        </w:rPr>
      </w:pPr>
      <w:r>
        <w:rPr>
          <w:rFonts w:hint="default" w:ascii="Times New Roman" w:hAnsi="Times New Roman" w:eastAsia="仿宋" w:cs="Times New Roman"/>
          <w:kern w:val="2"/>
          <w:sz w:val="44"/>
          <w:szCs w:val="44"/>
          <w:lang w:val="en-US" w:eastAsia="zh-CN" w:bidi="ar"/>
        </w:rPr>
        <w:t xml:space="preserve"> </w:t>
      </w:r>
    </w:p>
    <w:p w14:paraId="2F6052BD">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Times New Roman" w:hAnsi="Times New Roman" w:eastAsia="仿宋" w:cs="Times New Roman"/>
          <w:b/>
          <w:bCs w:val="0"/>
          <w:kern w:val="2"/>
          <w:sz w:val="44"/>
          <w:szCs w:val="44"/>
        </w:rPr>
      </w:pPr>
      <w:r>
        <w:rPr>
          <w:rFonts w:hint="eastAsia" w:ascii="仿宋" w:hAnsi="仿宋" w:eastAsia="仿宋" w:cs="仿宋"/>
          <w:b/>
          <w:bCs w:val="0"/>
          <w:kern w:val="2"/>
          <w:sz w:val="44"/>
          <w:szCs w:val="44"/>
          <w:lang w:val="en-US" w:eastAsia="zh-CN" w:bidi="ar"/>
        </w:rPr>
        <w:t>招</w:t>
      </w:r>
    </w:p>
    <w:p w14:paraId="43B4C97C">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Times New Roman" w:hAnsi="Times New Roman" w:eastAsia="仿宋" w:cs="Times New Roman"/>
          <w:b/>
          <w:bCs w:val="0"/>
          <w:kern w:val="2"/>
          <w:sz w:val="44"/>
          <w:szCs w:val="44"/>
        </w:rPr>
      </w:pPr>
      <w:r>
        <w:rPr>
          <w:rFonts w:hint="eastAsia" w:ascii="仿宋" w:hAnsi="仿宋" w:eastAsia="仿宋" w:cs="仿宋"/>
          <w:b/>
          <w:bCs w:val="0"/>
          <w:kern w:val="2"/>
          <w:sz w:val="44"/>
          <w:szCs w:val="44"/>
          <w:lang w:val="en-US" w:eastAsia="zh-CN" w:bidi="ar"/>
        </w:rPr>
        <w:t>标</w:t>
      </w:r>
    </w:p>
    <w:p w14:paraId="2FD87272">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Times New Roman" w:hAnsi="Times New Roman" w:eastAsia="仿宋" w:cs="Times New Roman"/>
          <w:b/>
          <w:bCs w:val="0"/>
          <w:kern w:val="2"/>
          <w:sz w:val="44"/>
          <w:szCs w:val="44"/>
        </w:rPr>
      </w:pPr>
      <w:r>
        <w:rPr>
          <w:rFonts w:hint="eastAsia" w:ascii="仿宋" w:hAnsi="仿宋" w:eastAsia="仿宋" w:cs="仿宋"/>
          <w:b/>
          <w:bCs w:val="0"/>
          <w:kern w:val="2"/>
          <w:sz w:val="44"/>
          <w:szCs w:val="44"/>
          <w:lang w:val="en-US" w:eastAsia="zh-CN" w:bidi="ar"/>
        </w:rPr>
        <w:t>文</w:t>
      </w:r>
    </w:p>
    <w:p w14:paraId="10B2BBDF">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Times New Roman" w:hAnsi="Times New Roman" w:eastAsia="仿宋" w:cs="Times New Roman"/>
          <w:kern w:val="2"/>
          <w:sz w:val="44"/>
          <w:szCs w:val="44"/>
        </w:rPr>
      </w:pPr>
      <w:r>
        <w:rPr>
          <w:rFonts w:hint="eastAsia" w:ascii="仿宋" w:hAnsi="仿宋" w:eastAsia="仿宋" w:cs="仿宋"/>
          <w:b/>
          <w:bCs w:val="0"/>
          <w:kern w:val="2"/>
          <w:sz w:val="44"/>
          <w:szCs w:val="44"/>
          <w:lang w:val="en-US" w:eastAsia="zh-CN" w:bidi="ar"/>
        </w:rPr>
        <w:t>件</w:t>
      </w:r>
    </w:p>
    <w:p w14:paraId="4DEC2196">
      <w:pPr>
        <w:keepNext w:val="0"/>
        <w:keepLines w:val="0"/>
        <w:widowControl w:val="0"/>
        <w:suppressLineNumbers w:val="0"/>
        <w:adjustRightInd w:val="0"/>
        <w:snapToGrid w:val="0"/>
        <w:spacing w:before="0" w:beforeAutospacing="0" w:after="0" w:afterAutospacing="0" w:line="300" w:lineRule="auto"/>
        <w:ind w:left="851" w:right="0" w:firstLine="1355"/>
        <w:jc w:val="both"/>
        <w:rPr>
          <w:rFonts w:hint="default" w:ascii="Times New Roman" w:hAnsi="Times New Roman" w:eastAsia="仿宋" w:cs="Times New Roman"/>
          <w:b/>
          <w:bCs w:val="0"/>
          <w:kern w:val="2"/>
          <w:sz w:val="44"/>
          <w:szCs w:val="44"/>
        </w:rPr>
      </w:pPr>
      <w:r>
        <w:rPr>
          <w:rFonts w:hint="default" w:ascii="Times New Roman" w:hAnsi="Times New Roman" w:eastAsia="仿宋" w:cs="Times New Roman"/>
          <w:b/>
          <w:bCs w:val="0"/>
          <w:kern w:val="2"/>
          <w:sz w:val="44"/>
          <w:szCs w:val="44"/>
          <w:lang w:val="en-US" w:eastAsia="zh-CN" w:bidi="ar"/>
        </w:rPr>
        <w:t xml:space="preserve"> </w:t>
      </w:r>
    </w:p>
    <w:p w14:paraId="4D7AB187">
      <w:pPr>
        <w:keepNext w:val="0"/>
        <w:keepLines w:val="0"/>
        <w:widowControl w:val="0"/>
        <w:suppressLineNumbers w:val="0"/>
        <w:adjustRightInd w:val="0"/>
        <w:snapToGrid w:val="0"/>
        <w:spacing w:before="0" w:beforeAutospacing="0" w:after="0" w:afterAutospacing="0" w:line="300" w:lineRule="auto"/>
        <w:ind w:left="851" w:right="0" w:firstLine="1355"/>
        <w:jc w:val="both"/>
        <w:rPr>
          <w:rFonts w:hint="default" w:ascii="Times New Roman" w:hAnsi="Times New Roman" w:eastAsia="仿宋" w:cs="Times New Roman"/>
          <w:b/>
          <w:bCs w:val="0"/>
          <w:kern w:val="2"/>
          <w:sz w:val="44"/>
          <w:szCs w:val="44"/>
        </w:rPr>
      </w:pPr>
      <w:r>
        <w:rPr>
          <w:rFonts w:hint="default" w:ascii="Times New Roman" w:hAnsi="Times New Roman" w:eastAsia="仿宋" w:cs="Times New Roman"/>
          <w:b/>
          <w:bCs w:val="0"/>
          <w:kern w:val="2"/>
          <w:sz w:val="44"/>
          <w:szCs w:val="44"/>
          <w:lang w:val="en-US" w:eastAsia="zh-CN" w:bidi="ar"/>
        </w:rPr>
        <w:t xml:space="preserve"> </w:t>
      </w:r>
    </w:p>
    <w:p w14:paraId="0E16AE0D">
      <w:pPr>
        <w:keepNext w:val="0"/>
        <w:keepLines w:val="0"/>
        <w:widowControl w:val="0"/>
        <w:suppressLineNumbers w:val="0"/>
        <w:adjustRightInd w:val="0"/>
        <w:snapToGrid w:val="0"/>
        <w:spacing w:before="0" w:beforeAutospacing="0" w:after="0" w:afterAutospacing="0" w:line="300" w:lineRule="auto"/>
        <w:ind w:left="851" w:right="0" w:firstLine="1355"/>
        <w:jc w:val="both"/>
        <w:rPr>
          <w:rFonts w:hint="default" w:ascii="Times New Roman" w:hAnsi="Times New Roman" w:eastAsia="仿宋" w:cs="Times New Roman"/>
          <w:b/>
          <w:bCs w:val="0"/>
          <w:kern w:val="2"/>
          <w:sz w:val="44"/>
          <w:szCs w:val="44"/>
        </w:rPr>
      </w:pPr>
      <w:r>
        <w:rPr>
          <w:rFonts w:hint="default" w:ascii="Times New Roman" w:hAnsi="Times New Roman" w:eastAsia="仿宋" w:cs="Times New Roman"/>
          <w:b/>
          <w:bCs w:val="0"/>
          <w:kern w:val="2"/>
          <w:sz w:val="44"/>
          <w:szCs w:val="44"/>
          <w:lang w:val="en-US" w:eastAsia="zh-CN" w:bidi="ar"/>
        </w:rPr>
        <w:t xml:space="preserve"> </w:t>
      </w:r>
    </w:p>
    <w:p w14:paraId="6654DB01">
      <w:pPr>
        <w:keepNext w:val="0"/>
        <w:keepLines w:val="0"/>
        <w:widowControl w:val="0"/>
        <w:suppressLineNumbers w:val="0"/>
        <w:adjustRightInd w:val="0"/>
        <w:snapToGrid w:val="0"/>
        <w:spacing w:before="0" w:beforeAutospacing="0" w:after="0" w:afterAutospacing="0" w:line="300" w:lineRule="auto"/>
        <w:ind w:left="851" w:right="0" w:firstLine="1355"/>
        <w:jc w:val="both"/>
        <w:rPr>
          <w:rFonts w:hint="default" w:ascii="Times New Roman" w:hAnsi="Times New Roman" w:eastAsia="仿宋" w:cs="Times New Roman"/>
          <w:b/>
          <w:bCs w:val="0"/>
          <w:kern w:val="2"/>
          <w:sz w:val="44"/>
          <w:szCs w:val="44"/>
        </w:rPr>
      </w:pPr>
      <w:r>
        <w:rPr>
          <w:rFonts w:hint="default" w:ascii="Times New Roman" w:hAnsi="Times New Roman" w:eastAsia="仿宋" w:cs="Times New Roman"/>
          <w:b/>
          <w:bCs w:val="0"/>
          <w:kern w:val="2"/>
          <w:sz w:val="44"/>
          <w:szCs w:val="44"/>
          <w:lang w:val="en-US" w:eastAsia="zh-CN" w:bidi="ar"/>
        </w:rPr>
        <w:t xml:space="preserve"> </w:t>
      </w:r>
    </w:p>
    <w:p w14:paraId="0698BF41">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Times New Roman" w:hAnsi="Times New Roman" w:eastAsia="仿宋" w:cs="Times New Roman"/>
          <w:b/>
          <w:bCs w:val="0"/>
          <w:kern w:val="2"/>
          <w:sz w:val="44"/>
          <w:szCs w:val="44"/>
          <w:lang w:val="en-US"/>
        </w:rPr>
      </w:pPr>
      <w:r>
        <w:rPr>
          <w:rFonts w:hint="eastAsia" w:ascii="仿宋" w:hAnsi="仿宋" w:eastAsia="仿宋" w:cs="仿宋"/>
          <w:b/>
          <w:bCs w:val="0"/>
          <w:kern w:val="2"/>
          <w:sz w:val="44"/>
          <w:szCs w:val="44"/>
          <w:lang w:val="en-US" w:eastAsia="zh-CN" w:bidi="ar"/>
        </w:rPr>
        <w:t>项目编号：校内</w:t>
      </w:r>
      <w:r>
        <w:rPr>
          <w:rFonts w:hint="default" w:ascii="Times New Roman" w:hAnsi="Times New Roman" w:eastAsia="仿宋" w:cs="Times New Roman"/>
          <w:b/>
          <w:bCs w:val="0"/>
          <w:kern w:val="2"/>
          <w:sz w:val="44"/>
          <w:szCs w:val="44"/>
          <w:lang w:val="en-US" w:eastAsia="zh-CN" w:bidi="ar"/>
        </w:rPr>
        <w:t>2025-</w:t>
      </w:r>
      <w:r>
        <w:rPr>
          <w:rFonts w:hint="eastAsia" w:ascii="Times New Roman" w:hAnsi="Times New Roman" w:eastAsia="仿宋" w:cs="Times New Roman"/>
          <w:b/>
          <w:bCs w:val="0"/>
          <w:kern w:val="2"/>
          <w:sz w:val="44"/>
          <w:szCs w:val="44"/>
          <w:lang w:val="en-US" w:eastAsia="zh-CN" w:bidi="ar"/>
        </w:rPr>
        <w:t>27</w:t>
      </w:r>
    </w:p>
    <w:p w14:paraId="49B4AD22">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Times New Roman" w:hAnsi="Times New Roman" w:eastAsia="仿宋" w:cs="Times New Roman"/>
          <w:b/>
          <w:bCs w:val="0"/>
          <w:kern w:val="2"/>
          <w:sz w:val="44"/>
          <w:szCs w:val="44"/>
        </w:rPr>
      </w:pPr>
      <w:r>
        <w:rPr>
          <w:rFonts w:hint="default" w:ascii="Times New Roman" w:hAnsi="Times New Roman" w:eastAsia="仿宋" w:cs="Times New Roman"/>
          <w:b/>
          <w:bCs w:val="0"/>
          <w:kern w:val="2"/>
          <w:sz w:val="44"/>
          <w:szCs w:val="44"/>
          <w:lang w:val="en-US" w:eastAsia="zh-CN" w:bidi="ar"/>
        </w:rPr>
        <w:t xml:space="preserve"> </w:t>
      </w:r>
      <w:r>
        <w:rPr>
          <w:rFonts w:hint="eastAsia" w:ascii="仿宋" w:hAnsi="仿宋" w:eastAsia="仿宋" w:cs="仿宋"/>
          <w:b/>
          <w:bCs w:val="0"/>
          <w:kern w:val="2"/>
          <w:sz w:val="44"/>
          <w:szCs w:val="44"/>
          <w:lang w:val="en-US" w:eastAsia="zh-CN" w:bidi="ar"/>
        </w:rPr>
        <w:t>采 购</w:t>
      </w:r>
      <w:r>
        <w:rPr>
          <w:rFonts w:hint="default" w:ascii="Times New Roman" w:hAnsi="Times New Roman" w:eastAsia="仿宋" w:cs="Times New Roman"/>
          <w:b/>
          <w:bCs w:val="0"/>
          <w:kern w:val="2"/>
          <w:sz w:val="44"/>
          <w:szCs w:val="44"/>
          <w:lang w:val="en-US" w:eastAsia="zh-CN" w:bidi="ar"/>
        </w:rPr>
        <w:t xml:space="preserve"> </w:t>
      </w:r>
      <w:r>
        <w:rPr>
          <w:rFonts w:hint="eastAsia" w:ascii="仿宋" w:hAnsi="仿宋" w:eastAsia="仿宋" w:cs="仿宋"/>
          <w:b/>
          <w:bCs w:val="0"/>
          <w:kern w:val="2"/>
          <w:sz w:val="44"/>
          <w:szCs w:val="44"/>
          <w:lang w:val="en-US" w:eastAsia="zh-CN" w:bidi="ar"/>
        </w:rPr>
        <w:t>人：广州美术学院</w:t>
      </w:r>
    </w:p>
    <w:p w14:paraId="652EAD36">
      <w:pPr>
        <w:keepNext w:val="0"/>
        <w:keepLines w:val="0"/>
        <w:widowControl w:val="0"/>
        <w:suppressLineNumbers w:val="0"/>
        <w:adjustRightInd w:val="0"/>
        <w:snapToGrid w:val="0"/>
        <w:spacing w:before="0" w:beforeAutospacing="0" w:after="0" w:afterAutospacing="0" w:line="300" w:lineRule="auto"/>
        <w:ind w:left="0" w:right="0"/>
        <w:jc w:val="both"/>
        <w:rPr>
          <w:rFonts w:hint="default" w:ascii="Times New Roman" w:hAnsi="Times New Roman" w:eastAsia="仿宋" w:cs="Times New Roman"/>
          <w:b/>
          <w:bCs w:val="0"/>
          <w:kern w:val="2"/>
          <w:sz w:val="24"/>
          <w:szCs w:val="24"/>
        </w:rPr>
      </w:pPr>
      <w:r>
        <w:rPr>
          <w:rFonts w:hint="default" w:ascii="Times New Roman" w:hAnsi="Times New Roman" w:eastAsia="仿宋" w:cs="Times New Roman"/>
          <w:b/>
          <w:bCs w:val="0"/>
          <w:kern w:val="2"/>
          <w:sz w:val="24"/>
          <w:szCs w:val="24"/>
          <w:lang w:val="en-US" w:eastAsia="zh-CN" w:bidi="ar"/>
        </w:rPr>
        <w:t xml:space="preserve"> </w:t>
      </w:r>
    </w:p>
    <w:p w14:paraId="78E7A926">
      <w:pPr>
        <w:keepNext w:val="0"/>
        <w:keepLines w:val="0"/>
        <w:widowControl w:val="0"/>
        <w:suppressLineNumbers w:val="0"/>
        <w:adjustRightInd w:val="0"/>
        <w:snapToGrid w:val="0"/>
        <w:spacing w:before="0" w:beforeAutospacing="0" w:after="0" w:afterAutospacing="0" w:line="300" w:lineRule="auto"/>
        <w:ind w:left="0" w:right="0"/>
        <w:jc w:val="both"/>
        <w:rPr>
          <w:rFonts w:hint="default" w:ascii="Times New Roman" w:hAnsi="Times New Roman" w:eastAsia="仿宋" w:cs="Times New Roman"/>
          <w:b/>
          <w:bCs w:val="0"/>
          <w:kern w:val="2"/>
          <w:sz w:val="24"/>
          <w:szCs w:val="24"/>
        </w:rPr>
      </w:pPr>
      <w:r>
        <w:rPr>
          <w:rFonts w:hint="default" w:ascii="Times New Roman" w:hAnsi="Times New Roman" w:eastAsia="仿宋" w:cs="Times New Roman"/>
          <w:b/>
          <w:bCs w:val="0"/>
          <w:kern w:val="2"/>
          <w:sz w:val="24"/>
          <w:szCs w:val="24"/>
          <w:lang w:val="en-US" w:eastAsia="zh-CN" w:bidi="ar"/>
        </w:rPr>
        <w:t xml:space="preserve"> </w:t>
      </w:r>
    </w:p>
    <w:p w14:paraId="48B2C173">
      <w:pPr>
        <w:keepNext w:val="0"/>
        <w:keepLines w:val="0"/>
        <w:widowControl w:val="0"/>
        <w:suppressLineNumbers w:val="0"/>
        <w:adjustRightInd w:val="0"/>
        <w:snapToGrid w:val="0"/>
        <w:spacing w:before="0" w:beforeAutospacing="0" w:after="0" w:afterAutospacing="0" w:line="300" w:lineRule="auto"/>
        <w:ind w:left="0" w:right="0"/>
        <w:jc w:val="both"/>
        <w:rPr>
          <w:rFonts w:hint="default" w:ascii="Times New Roman" w:hAnsi="Times New Roman" w:eastAsia="仿宋" w:cs="Times New Roman"/>
          <w:b/>
          <w:bCs w:val="0"/>
          <w:kern w:val="2"/>
          <w:sz w:val="24"/>
          <w:szCs w:val="24"/>
        </w:rPr>
      </w:pPr>
      <w:r>
        <w:rPr>
          <w:rFonts w:hint="default" w:ascii="Times New Roman" w:hAnsi="Times New Roman" w:eastAsia="仿宋" w:cs="Times New Roman"/>
          <w:b/>
          <w:bCs w:val="0"/>
          <w:kern w:val="2"/>
          <w:sz w:val="24"/>
          <w:szCs w:val="24"/>
          <w:lang w:val="en-US" w:eastAsia="zh-CN" w:bidi="ar"/>
        </w:rPr>
        <w:t xml:space="preserve"> </w:t>
      </w:r>
    </w:p>
    <w:p w14:paraId="33D03539">
      <w:pPr>
        <w:keepNext w:val="0"/>
        <w:keepLines w:val="0"/>
        <w:widowControl w:val="0"/>
        <w:suppressLineNumbers w:val="0"/>
        <w:adjustRightInd w:val="0"/>
        <w:snapToGrid w:val="0"/>
        <w:spacing w:before="0" w:beforeAutospacing="0" w:after="0" w:afterAutospacing="0" w:line="300" w:lineRule="auto"/>
        <w:ind w:left="0" w:right="0"/>
        <w:jc w:val="both"/>
        <w:rPr>
          <w:rFonts w:hint="default" w:ascii="Times New Roman" w:hAnsi="Times New Roman" w:eastAsia="仿宋" w:cs="Times New Roman"/>
          <w:b/>
          <w:bCs w:val="0"/>
          <w:kern w:val="2"/>
          <w:sz w:val="24"/>
          <w:szCs w:val="24"/>
        </w:rPr>
      </w:pPr>
      <w:r>
        <w:rPr>
          <w:rFonts w:hint="default" w:ascii="Times New Roman" w:hAnsi="Times New Roman" w:eastAsia="仿宋" w:cs="Times New Roman"/>
          <w:b/>
          <w:bCs w:val="0"/>
          <w:kern w:val="2"/>
          <w:sz w:val="24"/>
          <w:szCs w:val="24"/>
          <w:lang w:val="en-US" w:eastAsia="zh-CN" w:bidi="ar"/>
        </w:rPr>
        <w:t xml:space="preserve"> </w:t>
      </w:r>
    </w:p>
    <w:p w14:paraId="30F9EBE1">
      <w:pPr>
        <w:keepNext w:val="0"/>
        <w:keepLines w:val="0"/>
        <w:widowControl w:val="0"/>
        <w:suppressLineNumbers w:val="0"/>
        <w:adjustRightInd w:val="0"/>
        <w:snapToGrid w:val="0"/>
        <w:spacing w:before="0" w:beforeAutospacing="0" w:after="0" w:afterAutospacing="0" w:line="300" w:lineRule="auto"/>
        <w:ind w:left="0" w:right="0"/>
        <w:jc w:val="both"/>
        <w:rPr>
          <w:rFonts w:hint="default" w:ascii="Times New Roman" w:hAnsi="Times New Roman" w:eastAsia="仿宋" w:cs="Times New Roman"/>
          <w:b/>
          <w:bCs w:val="0"/>
          <w:kern w:val="2"/>
          <w:sz w:val="24"/>
          <w:szCs w:val="24"/>
        </w:rPr>
      </w:pPr>
      <w:r>
        <w:rPr>
          <w:rFonts w:hint="default" w:ascii="Times New Roman" w:hAnsi="Times New Roman" w:eastAsia="仿宋" w:cs="Times New Roman"/>
          <w:b/>
          <w:bCs w:val="0"/>
          <w:kern w:val="2"/>
          <w:sz w:val="24"/>
          <w:szCs w:val="24"/>
          <w:lang w:val="en-US" w:eastAsia="zh-CN" w:bidi="ar"/>
        </w:rPr>
        <w:t xml:space="preserve"> </w:t>
      </w:r>
    </w:p>
    <w:p w14:paraId="723A5571">
      <w:pPr>
        <w:keepNext w:val="0"/>
        <w:keepLines w:val="0"/>
        <w:widowControl w:val="0"/>
        <w:suppressLineNumbers w:val="0"/>
        <w:adjustRightInd w:val="0"/>
        <w:snapToGrid w:val="0"/>
        <w:spacing w:before="0" w:beforeAutospacing="0" w:after="0" w:afterAutospacing="0" w:line="300" w:lineRule="auto"/>
        <w:ind w:left="0" w:right="0"/>
        <w:jc w:val="both"/>
        <w:rPr>
          <w:rFonts w:hint="default" w:ascii="Times New Roman" w:hAnsi="Times New Roman" w:eastAsia="仿宋" w:cs="Times New Roman"/>
          <w:b/>
          <w:bCs w:val="0"/>
          <w:kern w:val="2"/>
          <w:sz w:val="24"/>
          <w:szCs w:val="24"/>
        </w:rPr>
      </w:pPr>
      <w:r>
        <w:rPr>
          <w:rFonts w:hint="default" w:ascii="Times New Roman" w:hAnsi="Times New Roman" w:eastAsia="仿宋" w:cs="Times New Roman"/>
          <w:b/>
          <w:bCs w:val="0"/>
          <w:kern w:val="2"/>
          <w:sz w:val="24"/>
          <w:szCs w:val="24"/>
          <w:lang w:val="en-US" w:eastAsia="zh-CN" w:bidi="ar"/>
        </w:rPr>
        <w:t xml:space="preserve"> </w:t>
      </w:r>
    </w:p>
    <w:p w14:paraId="51697061">
      <w:pPr>
        <w:keepNext w:val="0"/>
        <w:keepLines w:val="0"/>
        <w:widowControl w:val="0"/>
        <w:suppressLineNumbers w:val="0"/>
        <w:adjustRightInd w:val="0"/>
        <w:snapToGrid w:val="0"/>
        <w:spacing w:before="0" w:beforeAutospacing="0" w:after="0" w:afterAutospacing="0" w:line="300" w:lineRule="auto"/>
        <w:ind w:left="0" w:right="0"/>
        <w:jc w:val="both"/>
        <w:rPr>
          <w:rFonts w:hint="default" w:ascii="Times New Roman" w:hAnsi="Times New Roman" w:eastAsia="仿宋" w:cs="Times New Roman"/>
          <w:b/>
          <w:bCs w:val="0"/>
          <w:kern w:val="2"/>
          <w:sz w:val="24"/>
          <w:szCs w:val="24"/>
        </w:rPr>
      </w:pPr>
      <w:r>
        <w:rPr>
          <w:rFonts w:hint="default" w:ascii="Times New Roman" w:hAnsi="Times New Roman" w:eastAsia="仿宋" w:cs="Times New Roman"/>
          <w:b/>
          <w:bCs w:val="0"/>
          <w:kern w:val="2"/>
          <w:sz w:val="24"/>
          <w:szCs w:val="24"/>
          <w:lang w:val="en-US" w:eastAsia="zh-CN" w:bidi="ar"/>
        </w:rPr>
        <w:t xml:space="preserve"> </w:t>
      </w:r>
    </w:p>
    <w:p w14:paraId="35633388">
      <w:pPr>
        <w:keepNext w:val="0"/>
        <w:keepLines w:val="0"/>
        <w:widowControl w:val="0"/>
        <w:suppressLineNumbers w:val="0"/>
        <w:autoSpaceDE w:val="0"/>
        <w:autoSpaceDN/>
        <w:adjustRightInd w:val="0"/>
        <w:snapToGrid w:val="0"/>
        <w:spacing w:before="0" w:beforeAutospacing="0" w:after="0" w:afterAutospacing="0" w:line="540" w:lineRule="exact"/>
        <w:ind w:left="0" w:right="0" w:firstLine="3640" w:firstLineChars="1300"/>
        <w:jc w:val="both"/>
        <w:rPr>
          <w:rFonts w:hint="default" w:ascii="Times New Roman" w:hAnsi="Times New Roman" w:eastAsia="宋体" w:cs="Times New Roman"/>
          <w:kern w:val="2"/>
          <w:sz w:val="21"/>
          <w:szCs w:val="21"/>
        </w:rPr>
      </w:pPr>
      <w:r>
        <w:rPr>
          <w:rFonts w:hint="default" w:ascii="Times New Roman" w:hAnsi="Times New Roman" w:eastAsia="仿宋" w:cs="Times New Roman"/>
          <w:kern w:val="2"/>
          <w:sz w:val="28"/>
          <w:szCs w:val="28"/>
          <w:lang w:val="en-US" w:eastAsia="zh-CN" w:bidi="ar"/>
        </w:rPr>
        <w:t>2025</w:t>
      </w:r>
      <w:r>
        <w:rPr>
          <w:rFonts w:hint="eastAsia" w:ascii="仿宋" w:hAnsi="仿宋" w:eastAsia="仿宋" w:cs="仿宋"/>
          <w:kern w:val="2"/>
          <w:sz w:val="28"/>
          <w:szCs w:val="28"/>
          <w:lang w:val="en-US" w:eastAsia="zh-CN" w:bidi="ar"/>
        </w:rPr>
        <w:t>年</w:t>
      </w:r>
      <w:r>
        <w:rPr>
          <w:rFonts w:hint="eastAsia" w:ascii="仿宋" w:hAnsi="仿宋" w:eastAsia="仿宋" w:cs="仿宋"/>
          <w:kern w:val="2"/>
          <w:sz w:val="28"/>
          <w:szCs w:val="28"/>
          <w:lang w:val="en-US" w:eastAsia="zh-CN" w:bidi="ar"/>
          <w:woUserID w:val="1"/>
        </w:rPr>
        <w:t>11</w:t>
      </w:r>
      <w:r>
        <w:rPr>
          <w:rFonts w:hint="eastAsia" w:ascii="仿宋" w:hAnsi="仿宋" w:eastAsia="仿宋" w:cs="仿宋"/>
          <w:kern w:val="2"/>
          <w:sz w:val="28"/>
          <w:szCs w:val="28"/>
          <w:lang w:val="en-US" w:eastAsia="zh-CN" w:bidi="ar"/>
        </w:rPr>
        <w:t>月</w:t>
      </w:r>
      <w:r>
        <w:rPr>
          <w:rFonts w:hint="default" w:ascii="Times New Roman" w:hAnsi="Times New Roman" w:eastAsia="仿宋" w:cs="Times New Roman"/>
          <w:b/>
          <w:bCs w:val="0"/>
          <w:color w:val="000000"/>
          <w:kern w:val="2"/>
          <w:sz w:val="21"/>
          <w:szCs w:val="21"/>
          <w:lang w:val="en-US" w:eastAsia="zh-CN" w:bidi="ar"/>
        </w:rPr>
        <w:br w:type="page"/>
      </w:r>
      <w:r>
        <w:rPr>
          <w:rFonts w:hint="eastAsia" w:ascii="宋体" w:hAnsi="宋体" w:eastAsia="宋体" w:cs="宋体"/>
          <w:b/>
          <w:bCs w:val="0"/>
          <w:color w:val="000000"/>
          <w:kern w:val="2"/>
          <w:sz w:val="28"/>
          <w:szCs w:val="28"/>
          <w:lang w:val="en-US" w:eastAsia="zh-CN" w:bidi="ar"/>
        </w:rPr>
        <w:t>第一部分</w:t>
      </w:r>
      <w:r>
        <w:rPr>
          <w:rFonts w:hint="default" w:ascii="Times New Roman" w:hAnsi="Times New Roman" w:eastAsia="宋体" w:cs="Times New Roman"/>
          <w:b/>
          <w:bCs w:val="0"/>
          <w:color w:val="000000"/>
          <w:kern w:val="2"/>
          <w:sz w:val="28"/>
          <w:szCs w:val="28"/>
          <w:lang w:val="en-US" w:eastAsia="zh-CN" w:bidi="ar"/>
        </w:rPr>
        <w:t xml:space="preserve">  </w:t>
      </w:r>
      <w:r>
        <w:rPr>
          <w:rFonts w:hint="eastAsia" w:ascii="宋体" w:hAnsi="宋体" w:eastAsia="宋体" w:cs="宋体"/>
          <w:b/>
          <w:bCs w:val="0"/>
          <w:color w:val="000000"/>
          <w:kern w:val="2"/>
          <w:sz w:val="28"/>
          <w:szCs w:val="28"/>
          <w:lang w:val="en-US" w:eastAsia="zh-CN" w:bidi="ar"/>
        </w:rPr>
        <w:t>投标邀请函</w:t>
      </w:r>
    </w:p>
    <w:p w14:paraId="2AB0DDE5">
      <w:pPr>
        <w:pStyle w:val="11"/>
        <w:keepNext w:val="0"/>
        <w:keepLines w:val="0"/>
        <w:widowControl/>
        <w:suppressLineNumbers w:val="0"/>
        <w:shd w:val="clear" w:fill="FFFFFF"/>
        <w:autoSpaceDE w:val="0"/>
        <w:autoSpaceDN/>
        <w:spacing w:before="0" w:beforeAutospacing="0" w:after="240" w:afterLines="100" w:afterAutospacing="0" w:line="500" w:lineRule="exact"/>
        <w:ind w:left="0" w:right="0"/>
        <w:jc w:val="left"/>
        <w:rPr>
          <w:rFonts w:hint="default" w:ascii="Times New Roman" w:hAnsi="Times New Roman" w:eastAsia="宋体" w:cs="Times New Roman"/>
          <w:color w:val="000000"/>
          <w:kern w:val="2"/>
          <w:sz w:val="24"/>
          <w:szCs w:val="24"/>
          <w:shd w:val="clear" w:fill="FFFFFF"/>
        </w:rPr>
      </w:pPr>
      <w:r>
        <w:rPr>
          <w:rFonts w:hint="default" w:ascii="Times New Roman" w:hAnsi="Times New Roman" w:eastAsia="宋体" w:cs="Times New Roman"/>
          <w:color w:val="000000"/>
          <w:kern w:val="2"/>
          <w:sz w:val="24"/>
          <w:szCs w:val="24"/>
          <w:shd w:val="clear" w:fill="FFFFFF"/>
          <w:lang w:val="en-US" w:eastAsia="zh-CN" w:bidi="ar"/>
        </w:rPr>
        <w:t xml:space="preserve">   </w:t>
      </w:r>
      <w:r>
        <w:rPr>
          <w:rFonts w:hint="eastAsia" w:cs="宋体"/>
          <w:color w:val="000000"/>
          <w:kern w:val="2"/>
          <w:sz w:val="24"/>
          <w:szCs w:val="24"/>
          <w:shd w:val="clear" w:fill="FFFFFF"/>
          <w:lang w:val="en-US" w:eastAsia="zh-CN" w:bidi="ar"/>
        </w:rPr>
        <w:t>广州美术学院综合档案室气体灭火消防系统建设项目（三次）</w:t>
      </w:r>
      <w:r>
        <w:rPr>
          <w:rFonts w:hint="eastAsia" w:ascii="宋体" w:hAnsi="宋体" w:eastAsia="宋体" w:cs="宋体"/>
          <w:color w:val="000000"/>
          <w:kern w:val="2"/>
          <w:sz w:val="24"/>
          <w:szCs w:val="24"/>
          <w:shd w:val="clear" w:fill="FFFFFF"/>
          <w:lang w:val="en-US" w:eastAsia="zh-CN" w:bidi="ar"/>
        </w:rPr>
        <w:t>进行校内自主招标，欢迎符合资格条件的投标人投标。有关事项如下：</w:t>
      </w:r>
    </w:p>
    <w:p w14:paraId="65580617">
      <w:pPr>
        <w:keepNext w:val="0"/>
        <w:keepLines w:val="0"/>
        <w:widowControl w:val="0"/>
        <w:suppressLineNumbers w:val="0"/>
        <w:spacing w:before="50" w:beforeAutospacing="0" w:after="50" w:afterAutospacing="0" w:line="360" w:lineRule="auto"/>
        <w:ind w:left="0" w:right="0"/>
        <w:jc w:val="left"/>
        <w:rPr>
          <w:rFonts w:hint="default" w:ascii="宋体" w:hAnsi="宋体" w:eastAsia="宋体" w:cs="宋体"/>
          <w:color w:val="000000"/>
          <w:kern w:val="2"/>
          <w:sz w:val="24"/>
          <w:szCs w:val="24"/>
          <w:lang w:val="en-US"/>
        </w:rPr>
      </w:pPr>
      <w:r>
        <w:rPr>
          <w:rFonts w:hint="eastAsia" w:ascii="宋体" w:hAnsi="宋体" w:eastAsia="宋体" w:cs="宋体"/>
          <w:color w:val="000000"/>
          <w:kern w:val="2"/>
          <w:sz w:val="24"/>
          <w:szCs w:val="24"/>
          <w:lang w:val="en-US" w:eastAsia="zh-CN" w:bidi="ar"/>
        </w:rPr>
        <w:t>一、项目编号：校内</w:t>
      </w:r>
      <w:r>
        <w:rPr>
          <w:rFonts w:hint="default" w:ascii="Times New Roman" w:hAnsi="Times New Roman" w:eastAsia="宋体" w:cs="Times New Roman"/>
          <w:color w:val="000000"/>
          <w:kern w:val="2"/>
          <w:sz w:val="24"/>
          <w:szCs w:val="24"/>
          <w:lang w:val="en-US" w:eastAsia="zh-CN" w:bidi="ar"/>
        </w:rPr>
        <w:t>2025-</w:t>
      </w:r>
      <w:r>
        <w:rPr>
          <w:rFonts w:hint="eastAsia" w:ascii="Times New Roman" w:hAnsi="Times New Roman" w:eastAsia="宋体" w:cs="Times New Roman"/>
          <w:color w:val="000000"/>
          <w:kern w:val="2"/>
          <w:sz w:val="24"/>
          <w:szCs w:val="24"/>
          <w:lang w:val="en-US" w:eastAsia="zh-CN" w:bidi="ar"/>
        </w:rPr>
        <w:t>27</w:t>
      </w:r>
    </w:p>
    <w:p w14:paraId="6B421AD7">
      <w:pPr>
        <w:keepNext w:val="0"/>
        <w:keepLines w:val="0"/>
        <w:widowControl w:val="0"/>
        <w:suppressLineNumbers w:val="0"/>
        <w:spacing w:before="50" w:beforeAutospacing="0" w:after="50" w:afterAutospacing="0" w:line="360" w:lineRule="auto"/>
        <w:ind w:left="480" w:right="0" w:hanging="480" w:hangingChars="200"/>
        <w:jc w:val="both"/>
        <w:rPr>
          <w:rFonts w:hint="default" w:ascii="宋体" w:hAnsi="宋体" w:eastAsia="宋体" w:cs="宋体"/>
          <w:color w:val="000000"/>
          <w:kern w:val="2"/>
          <w:sz w:val="24"/>
          <w:szCs w:val="24"/>
          <w:lang w:val="en-US"/>
        </w:rPr>
      </w:pPr>
      <w:r>
        <w:rPr>
          <w:rFonts w:hint="eastAsia" w:ascii="宋体" w:hAnsi="宋体" w:eastAsia="宋体" w:cs="宋体"/>
          <w:color w:val="000000"/>
          <w:kern w:val="2"/>
          <w:sz w:val="24"/>
          <w:szCs w:val="24"/>
          <w:lang w:val="en-US" w:eastAsia="zh-CN" w:bidi="ar"/>
        </w:rPr>
        <w:t>二、项目名称：广州美术学院综合档案室气体灭火消防系统建设项目（三次）</w:t>
      </w:r>
    </w:p>
    <w:p w14:paraId="02EEC194">
      <w:pPr>
        <w:keepNext w:val="0"/>
        <w:keepLines w:val="0"/>
        <w:widowControl w:val="0"/>
        <w:suppressLineNumbers w:val="0"/>
        <w:spacing w:before="50" w:beforeAutospacing="0" w:after="50" w:afterAutospacing="0" w:line="360" w:lineRule="auto"/>
        <w:ind w:left="0" w:right="0"/>
        <w:jc w:val="both"/>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三、项目需求部门：党政办公室</w:t>
      </w:r>
    </w:p>
    <w:p w14:paraId="2B4CDF27">
      <w:pPr>
        <w:keepNext w:val="0"/>
        <w:keepLines w:val="0"/>
        <w:widowControl w:val="0"/>
        <w:suppressLineNumbers w:val="0"/>
        <w:spacing w:before="50" w:beforeAutospacing="0" w:after="50" w:afterAutospacing="0" w:line="360" w:lineRule="auto"/>
        <w:ind w:left="0" w:right="0"/>
        <w:jc w:val="both"/>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四、采购预算（最高限价）：132367.72元。</w:t>
      </w:r>
    </w:p>
    <w:p w14:paraId="44676238">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rPr>
      </w:pPr>
      <w:r>
        <w:rPr>
          <w:rFonts w:hint="eastAsia" w:ascii="宋体" w:hAnsi="宋体" w:eastAsia="宋体" w:cs="宋体"/>
          <w:color w:val="000000"/>
          <w:kern w:val="2"/>
          <w:sz w:val="24"/>
          <w:szCs w:val="24"/>
          <w:lang w:val="en-US" w:eastAsia="zh-CN" w:bidi="ar"/>
        </w:rPr>
        <w:t>五、简要采购需求：</w:t>
      </w:r>
    </w:p>
    <w:p w14:paraId="54D4F8A1">
      <w:pPr>
        <w:keepNext w:val="0"/>
        <w:keepLines w:val="0"/>
        <w:widowControl w:val="0"/>
        <w:suppressLineNumbers w:val="0"/>
        <w:spacing w:before="0" w:beforeAutospacing="0" w:after="0" w:afterAutospacing="0" w:line="360" w:lineRule="auto"/>
        <w:ind w:left="0" w:right="0" w:firstLine="240" w:firstLineChars="100"/>
        <w:jc w:val="both"/>
        <w:rPr>
          <w:rFonts w:hint="default" w:ascii="宋体" w:hAnsi="宋体" w:eastAsia="宋体" w:cs="宋体"/>
          <w:kern w:val="2"/>
          <w:sz w:val="24"/>
          <w:szCs w:val="24"/>
          <w:lang w:val="en-US"/>
        </w:rPr>
      </w:pP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1</w:t>
      </w:r>
      <w:r>
        <w:rPr>
          <w:rFonts w:hint="eastAsia" w:ascii="宋体" w:hAnsi="宋体" w:eastAsia="宋体" w:cs="宋体"/>
          <w:kern w:val="2"/>
          <w:sz w:val="24"/>
          <w:szCs w:val="24"/>
          <w:lang w:val="en-US" w:eastAsia="zh-CN" w:bidi="ar"/>
        </w:rPr>
        <w:t>）标的名称：消防系统设备</w:t>
      </w:r>
    </w:p>
    <w:p w14:paraId="43875702">
      <w:pPr>
        <w:keepNext w:val="0"/>
        <w:keepLines w:val="0"/>
        <w:widowControl w:val="0"/>
        <w:suppressLineNumbers w:val="0"/>
        <w:spacing w:before="0" w:beforeAutospacing="0" w:after="0" w:afterAutospacing="0" w:line="360" w:lineRule="auto"/>
        <w:ind w:left="0" w:right="0" w:firstLine="240" w:firstLineChars="100"/>
        <w:jc w:val="left"/>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2</w:t>
      </w:r>
      <w:r>
        <w:rPr>
          <w:rFonts w:hint="eastAsia" w:ascii="宋体" w:hAnsi="宋体" w:eastAsia="宋体" w:cs="宋体"/>
          <w:kern w:val="2"/>
          <w:sz w:val="24"/>
          <w:szCs w:val="24"/>
          <w:lang w:val="en-US" w:eastAsia="zh-CN" w:bidi="ar"/>
        </w:rPr>
        <w:t>）标的数量：</w:t>
      </w:r>
      <w:r>
        <w:rPr>
          <w:rFonts w:hint="default" w:ascii="Times New Roman" w:hAnsi="Times New Roman" w:eastAsia="宋体" w:cs="Times New Roman"/>
          <w:kern w:val="2"/>
          <w:sz w:val="24"/>
          <w:szCs w:val="24"/>
          <w:lang w:val="en-US" w:eastAsia="zh-CN" w:bidi="ar"/>
        </w:rPr>
        <w:t>1</w:t>
      </w:r>
      <w:r>
        <w:rPr>
          <w:rFonts w:hint="eastAsia" w:ascii="宋体" w:hAnsi="宋体" w:eastAsia="宋体" w:cs="宋体"/>
          <w:kern w:val="2"/>
          <w:sz w:val="24"/>
          <w:szCs w:val="24"/>
          <w:lang w:val="en-US" w:eastAsia="zh-CN" w:bidi="ar"/>
        </w:rPr>
        <w:t>项。</w:t>
      </w:r>
    </w:p>
    <w:tbl>
      <w:tblPr>
        <w:tblStyle w:val="12"/>
        <w:tblW w:w="4580" w:type="pct"/>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741"/>
        <w:gridCol w:w="3153"/>
        <w:gridCol w:w="937"/>
        <w:gridCol w:w="3281"/>
      </w:tblGrid>
      <w:tr w14:paraId="2F10A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4740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仿宋"/>
                <w:kern w:val="2"/>
                <w:sz w:val="21"/>
                <w:szCs w:val="21"/>
              </w:rPr>
            </w:pPr>
            <w:r>
              <w:rPr>
                <w:rFonts w:hint="eastAsia" w:ascii="宋体" w:hAnsi="宋体" w:eastAsia="宋体" w:cs="宋体"/>
                <w:kern w:val="2"/>
                <w:sz w:val="21"/>
                <w:szCs w:val="21"/>
                <w:lang w:val="en-US" w:eastAsia="zh-CN" w:bidi="ar"/>
              </w:rPr>
              <w:t>序号</w:t>
            </w:r>
          </w:p>
        </w:tc>
        <w:tc>
          <w:tcPr>
            <w:tcW w:w="1942" w:type="pct"/>
            <w:tcBorders>
              <w:top w:val="single" w:color="000000" w:sz="4" w:space="0"/>
              <w:left w:val="nil"/>
              <w:bottom w:val="single" w:color="000000" w:sz="4" w:space="0"/>
              <w:right w:val="single" w:color="000000" w:sz="4" w:space="0"/>
            </w:tcBorders>
            <w:shd w:val="clear" w:color="auto" w:fill="auto"/>
            <w:vAlign w:val="center"/>
          </w:tcPr>
          <w:p w14:paraId="2F8521D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仿宋"/>
                <w:kern w:val="2"/>
                <w:sz w:val="21"/>
                <w:szCs w:val="21"/>
              </w:rPr>
            </w:pPr>
            <w:r>
              <w:rPr>
                <w:rFonts w:hint="eastAsia" w:ascii="宋体" w:hAnsi="宋体" w:eastAsia="宋体" w:cs="宋体"/>
                <w:kern w:val="2"/>
                <w:sz w:val="21"/>
                <w:szCs w:val="21"/>
                <w:lang w:val="en-US" w:eastAsia="zh-CN" w:bidi="ar"/>
              </w:rPr>
              <w:t>名称</w:t>
            </w:r>
          </w:p>
        </w:tc>
        <w:tc>
          <w:tcPr>
            <w:tcW w:w="577" w:type="pct"/>
            <w:tcBorders>
              <w:top w:val="single" w:color="000000" w:sz="4" w:space="0"/>
              <w:left w:val="nil"/>
              <w:bottom w:val="single" w:color="000000" w:sz="4" w:space="0"/>
              <w:right w:val="single" w:color="000000" w:sz="4" w:space="0"/>
            </w:tcBorders>
            <w:shd w:val="clear" w:color="auto" w:fill="auto"/>
            <w:vAlign w:val="center"/>
          </w:tcPr>
          <w:p w14:paraId="5E80C68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仿宋"/>
                <w:kern w:val="2"/>
                <w:sz w:val="21"/>
                <w:szCs w:val="21"/>
              </w:rPr>
            </w:pPr>
            <w:r>
              <w:rPr>
                <w:rFonts w:hint="eastAsia" w:ascii="宋体" w:hAnsi="宋体" w:eastAsia="宋体" w:cs="宋体"/>
                <w:kern w:val="2"/>
                <w:sz w:val="21"/>
                <w:szCs w:val="21"/>
                <w:lang w:val="en-US" w:eastAsia="zh-CN" w:bidi="ar"/>
              </w:rPr>
              <w:t>数量</w:t>
            </w:r>
          </w:p>
        </w:tc>
        <w:tc>
          <w:tcPr>
            <w:tcW w:w="2021" w:type="pct"/>
            <w:tcBorders>
              <w:top w:val="single" w:color="000000" w:sz="4" w:space="0"/>
              <w:left w:val="nil"/>
              <w:bottom w:val="single" w:color="000000" w:sz="4" w:space="0"/>
              <w:right w:val="single" w:color="000000" w:sz="4" w:space="0"/>
            </w:tcBorders>
            <w:shd w:val="clear" w:color="auto" w:fill="auto"/>
            <w:vAlign w:val="center"/>
          </w:tcPr>
          <w:p w14:paraId="5204AE5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仿宋"/>
                <w:kern w:val="2"/>
                <w:sz w:val="21"/>
                <w:szCs w:val="21"/>
              </w:rPr>
            </w:pPr>
            <w:r>
              <w:rPr>
                <w:rFonts w:hint="eastAsia" w:ascii="宋体" w:hAnsi="宋体" w:eastAsia="宋体" w:cs="宋体"/>
                <w:kern w:val="2"/>
                <w:sz w:val="21"/>
                <w:szCs w:val="21"/>
                <w:lang w:val="en-US" w:eastAsia="zh-CN" w:bidi="ar"/>
              </w:rPr>
              <w:t>服务地点</w:t>
            </w:r>
          </w:p>
        </w:tc>
      </w:tr>
      <w:tr w14:paraId="70FBC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26AE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仿宋"/>
                <w:kern w:val="2"/>
                <w:sz w:val="21"/>
                <w:szCs w:val="21"/>
              </w:rPr>
            </w:pPr>
            <w:r>
              <w:rPr>
                <w:rFonts w:hint="eastAsia" w:ascii="宋体" w:hAnsi="宋体" w:eastAsia="宋体" w:cs="宋体"/>
                <w:kern w:val="2"/>
                <w:sz w:val="21"/>
                <w:szCs w:val="21"/>
                <w:lang w:val="en-US" w:eastAsia="zh-CN" w:bidi="ar"/>
              </w:rPr>
              <w:t>1</w:t>
            </w:r>
          </w:p>
        </w:tc>
        <w:tc>
          <w:tcPr>
            <w:tcW w:w="1942" w:type="pct"/>
            <w:tcBorders>
              <w:top w:val="single" w:color="000000" w:sz="4" w:space="0"/>
              <w:left w:val="nil"/>
              <w:bottom w:val="single" w:color="000000" w:sz="4" w:space="0"/>
              <w:right w:val="single" w:color="000000" w:sz="4" w:space="0"/>
            </w:tcBorders>
            <w:shd w:val="clear" w:color="auto" w:fill="auto"/>
            <w:vAlign w:val="center"/>
          </w:tcPr>
          <w:p w14:paraId="734F3DF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仿宋"/>
                <w:kern w:val="2"/>
                <w:sz w:val="21"/>
                <w:szCs w:val="21"/>
              </w:rPr>
            </w:pPr>
            <w:r>
              <w:rPr>
                <w:rFonts w:hint="eastAsia" w:ascii="宋体" w:hAnsi="宋体" w:eastAsia="宋体" w:cs="仿宋"/>
                <w:kern w:val="2"/>
                <w:sz w:val="21"/>
                <w:szCs w:val="21"/>
              </w:rPr>
              <w:t>消防系统设备</w:t>
            </w:r>
          </w:p>
        </w:tc>
        <w:tc>
          <w:tcPr>
            <w:tcW w:w="577" w:type="pct"/>
            <w:tcBorders>
              <w:top w:val="single" w:color="000000" w:sz="4" w:space="0"/>
              <w:left w:val="nil"/>
              <w:bottom w:val="single" w:color="000000" w:sz="4" w:space="0"/>
              <w:right w:val="single" w:color="000000" w:sz="4" w:space="0"/>
            </w:tcBorders>
            <w:shd w:val="clear" w:color="auto" w:fill="auto"/>
            <w:vAlign w:val="center"/>
          </w:tcPr>
          <w:p w14:paraId="1FC2265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仿宋"/>
                <w:kern w:val="2"/>
                <w:sz w:val="21"/>
                <w:szCs w:val="21"/>
              </w:rPr>
            </w:pPr>
            <w:r>
              <w:rPr>
                <w:rFonts w:hint="eastAsia" w:ascii="宋体" w:hAnsi="宋体" w:eastAsia="宋体" w:cs="宋体"/>
                <w:kern w:val="2"/>
                <w:sz w:val="21"/>
                <w:szCs w:val="21"/>
                <w:lang w:val="en-US" w:eastAsia="zh-CN" w:bidi="ar"/>
              </w:rPr>
              <w:t>1批</w:t>
            </w:r>
          </w:p>
        </w:tc>
        <w:tc>
          <w:tcPr>
            <w:tcW w:w="2021" w:type="pct"/>
            <w:tcBorders>
              <w:top w:val="single" w:color="000000" w:sz="4" w:space="0"/>
              <w:left w:val="nil"/>
              <w:bottom w:val="single" w:color="000000" w:sz="4" w:space="0"/>
              <w:right w:val="single" w:color="000000" w:sz="4" w:space="0"/>
            </w:tcBorders>
            <w:shd w:val="clear" w:color="auto" w:fill="auto"/>
            <w:vAlign w:val="center"/>
          </w:tcPr>
          <w:p w14:paraId="727AFFD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仿宋"/>
                <w:kern w:val="2"/>
                <w:sz w:val="21"/>
                <w:szCs w:val="21"/>
              </w:rPr>
            </w:pPr>
            <w:r>
              <w:rPr>
                <w:rFonts w:hint="eastAsia" w:ascii="宋体" w:hAnsi="宋体" w:eastAsia="宋体" w:cs="宋体"/>
                <w:kern w:val="2"/>
                <w:sz w:val="21"/>
                <w:szCs w:val="21"/>
                <w:lang w:val="en-US" w:eastAsia="zh-CN" w:bidi="ar"/>
              </w:rPr>
              <w:t>广州美术学院</w:t>
            </w:r>
          </w:p>
        </w:tc>
      </w:tr>
    </w:tbl>
    <w:p w14:paraId="2905724F">
      <w:pPr>
        <w:keepNext w:val="0"/>
        <w:keepLines w:val="0"/>
        <w:widowControl w:val="0"/>
        <w:suppressLineNumbers w:val="0"/>
        <w:spacing w:before="50" w:beforeAutospacing="0" w:after="50" w:afterAutospacing="0" w:line="360" w:lineRule="auto"/>
        <w:ind w:left="0" w:right="0"/>
        <w:jc w:val="both"/>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六、供应商资格：</w:t>
      </w:r>
    </w:p>
    <w:p w14:paraId="5BD6E518">
      <w:pPr>
        <w:keepNext w:val="0"/>
        <w:keepLines w:val="0"/>
        <w:widowControl w:val="0"/>
        <w:suppressLineNumbers w:val="0"/>
        <w:spacing w:before="0" w:beforeAutospacing="0" w:after="0" w:afterAutospacing="0" w:line="360" w:lineRule="auto"/>
        <w:ind w:left="210" w:leftChars="100" w:right="0"/>
        <w:jc w:val="both"/>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1.</w:t>
      </w:r>
      <w:r>
        <w:rPr>
          <w:rFonts w:hint="eastAsia" w:ascii="宋体" w:hAnsi="宋体" w:eastAsia="宋体" w:cs="宋体"/>
          <w:color w:val="000000"/>
          <w:kern w:val="2"/>
          <w:sz w:val="24"/>
          <w:szCs w:val="24"/>
          <w:lang w:val="en-US" w:eastAsia="zh-CN" w:bidi="ar"/>
        </w:rPr>
        <w:t>投标人具备《政府采购法》第二十二条所规定的条件：</w:t>
      </w:r>
    </w:p>
    <w:p w14:paraId="47C08F4E">
      <w:pPr>
        <w:keepNext w:val="0"/>
        <w:keepLines w:val="0"/>
        <w:widowControl w:val="0"/>
        <w:suppressLineNumbers w:val="0"/>
        <w:spacing w:before="0" w:beforeAutospacing="0" w:after="0" w:afterAutospacing="0" w:line="360" w:lineRule="auto"/>
        <w:ind w:left="420" w:leftChars="200" w:right="0"/>
        <w:jc w:val="both"/>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1</w:t>
      </w:r>
      <w:r>
        <w:rPr>
          <w:rFonts w:hint="eastAsia" w:ascii="宋体" w:hAnsi="宋体" w:eastAsia="宋体" w:cs="宋体"/>
          <w:color w:val="000000"/>
          <w:kern w:val="2"/>
          <w:sz w:val="24"/>
          <w:szCs w:val="24"/>
          <w:lang w:val="en-US" w:eastAsia="zh-CN" w:bidi="ar"/>
        </w:rPr>
        <w:t>）投标人必须是具有独立承担民事责任能力的在中华人民共和国境内注册的法人或其他组织或自然人（提交有效的营业执照（或事业法人登记证等相关证明）副本复印件）。</w:t>
      </w:r>
    </w:p>
    <w:p w14:paraId="09616FB7">
      <w:pPr>
        <w:keepNext w:val="0"/>
        <w:keepLines w:val="0"/>
        <w:widowControl w:val="0"/>
        <w:suppressLineNumbers w:val="0"/>
        <w:spacing w:before="0" w:beforeAutospacing="0" w:after="0" w:afterAutospacing="0" w:line="360" w:lineRule="auto"/>
        <w:ind w:left="420" w:leftChars="200" w:right="0"/>
        <w:jc w:val="both"/>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2</w:t>
      </w:r>
      <w:r>
        <w:rPr>
          <w:rFonts w:hint="eastAsia" w:ascii="宋体" w:hAnsi="宋体" w:eastAsia="宋体" w:cs="宋体"/>
          <w:color w:val="000000"/>
          <w:kern w:val="2"/>
          <w:sz w:val="24"/>
          <w:szCs w:val="24"/>
          <w:lang w:val="en-US" w:eastAsia="zh-CN" w:bidi="ar"/>
        </w:rPr>
        <w:t>）投标人必须具有良好的商业信誉和健全的财务会计制度（提供</w:t>
      </w:r>
      <w:r>
        <w:rPr>
          <w:rFonts w:hint="default" w:ascii="Times New Roman" w:hAnsi="Times New Roman" w:eastAsia="宋体" w:cs="Times New Roman"/>
          <w:color w:val="000000"/>
          <w:kern w:val="2"/>
          <w:sz w:val="24"/>
          <w:szCs w:val="24"/>
          <w:lang w:val="en-US" w:eastAsia="zh-CN" w:bidi="ar"/>
        </w:rPr>
        <w:t>2023</w:t>
      </w:r>
      <w:r>
        <w:rPr>
          <w:rFonts w:hint="eastAsia" w:ascii="宋体" w:hAnsi="宋体" w:eastAsia="宋体" w:cs="宋体"/>
          <w:color w:val="000000"/>
          <w:kern w:val="2"/>
          <w:sz w:val="24"/>
          <w:szCs w:val="24"/>
          <w:lang w:val="en-US" w:eastAsia="zh-CN" w:bidi="ar"/>
        </w:rPr>
        <w:t>年或</w:t>
      </w:r>
      <w:r>
        <w:rPr>
          <w:rFonts w:hint="default" w:ascii="Times New Roman" w:hAnsi="Times New Roman" w:eastAsia="宋体" w:cs="Times New Roman"/>
          <w:color w:val="000000"/>
          <w:kern w:val="2"/>
          <w:sz w:val="24"/>
          <w:szCs w:val="24"/>
          <w:lang w:val="en-US" w:eastAsia="zh-CN" w:bidi="ar"/>
        </w:rPr>
        <w:t>2024</w:t>
      </w:r>
      <w:r>
        <w:rPr>
          <w:rFonts w:hint="eastAsia" w:ascii="宋体" w:hAnsi="宋体" w:eastAsia="宋体" w:cs="宋体"/>
          <w:color w:val="000000"/>
          <w:kern w:val="2"/>
          <w:sz w:val="24"/>
          <w:szCs w:val="24"/>
          <w:lang w:val="en-US" w:eastAsia="zh-CN" w:bidi="ar"/>
        </w:rPr>
        <w:t>年度财务状况报告或基本开户行出具的资信证明）。</w:t>
      </w:r>
    </w:p>
    <w:p w14:paraId="5DBAEF31">
      <w:pPr>
        <w:keepNext w:val="0"/>
        <w:keepLines w:val="0"/>
        <w:widowControl w:val="0"/>
        <w:suppressLineNumbers w:val="0"/>
        <w:spacing w:before="0" w:beforeAutospacing="0" w:after="0" w:afterAutospacing="0" w:line="360" w:lineRule="auto"/>
        <w:ind w:left="420" w:leftChars="200" w:right="0"/>
        <w:jc w:val="both"/>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3</w:t>
      </w:r>
      <w:r>
        <w:rPr>
          <w:rFonts w:hint="eastAsia" w:ascii="宋体" w:hAnsi="宋体" w:eastAsia="宋体" w:cs="宋体"/>
          <w:color w:val="000000"/>
          <w:kern w:val="2"/>
          <w:sz w:val="24"/>
          <w:szCs w:val="24"/>
          <w:lang w:val="en-US" w:eastAsia="zh-CN" w:bidi="ar"/>
        </w:rPr>
        <w:t>）有依法缴纳税收和社会保障资金的良好记录（提供投标截止日前</w:t>
      </w:r>
      <w:r>
        <w:rPr>
          <w:rFonts w:hint="default" w:ascii="Times New Roman" w:hAnsi="Times New Roman" w:eastAsia="宋体" w:cs="Times New Roman"/>
          <w:color w:val="000000"/>
          <w:kern w:val="2"/>
          <w:sz w:val="24"/>
          <w:szCs w:val="24"/>
          <w:lang w:val="en-US" w:eastAsia="zh-CN" w:bidi="ar"/>
        </w:rPr>
        <w:t>6</w:t>
      </w:r>
      <w:r>
        <w:rPr>
          <w:rFonts w:hint="eastAsia" w:ascii="宋体" w:hAnsi="宋体" w:eastAsia="宋体" w:cs="宋体"/>
          <w:color w:val="000000"/>
          <w:kern w:val="2"/>
          <w:sz w:val="24"/>
          <w:szCs w:val="24"/>
          <w:lang w:val="en-US" w:eastAsia="zh-CN" w:bidi="ar"/>
        </w:rPr>
        <w:t>个月内任意</w:t>
      </w:r>
      <w:r>
        <w:rPr>
          <w:rFonts w:hint="default" w:ascii="Times New Roman" w:hAnsi="Times New Roman" w:eastAsia="宋体" w:cs="Times New Roman"/>
          <w:color w:val="000000"/>
          <w:kern w:val="2"/>
          <w:sz w:val="24"/>
          <w:szCs w:val="24"/>
          <w:lang w:val="en-US" w:eastAsia="zh-CN" w:bidi="ar"/>
        </w:rPr>
        <w:t>1</w:t>
      </w:r>
      <w:r>
        <w:rPr>
          <w:rFonts w:hint="eastAsia" w:ascii="宋体" w:hAnsi="宋体" w:eastAsia="宋体" w:cs="宋体"/>
          <w:color w:val="000000"/>
          <w:kern w:val="2"/>
          <w:sz w:val="24"/>
          <w:szCs w:val="24"/>
          <w:lang w:val="en-US" w:eastAsia="zh-CN" w:bidi="ar"/>
        </w:rPr>
        <w:t>个月依法缴纳税收和社会保障资金的相关材料。如依法免税或不需要缴纳社会保障资金的，提供相应证明材料）。</w:t>
      </w:r>
    </w:p>
    <w:p w14:paraId="734EB13D">
      <w:pPr>
        <w:keepNext w:val="0"/>
        <w:keepLines w:val="0"/>
        <w:widowControl w:val="0"/>
        <w:suppressLineNumbers w:val="0"/>
        <w:spacing w:before="0" w:beforeAutospacing="0" w:after="0" w:afterAutospacing="0" w:line="360" w:lineRule="auto"/>
        <w:ind w:left="420" w:leftChars="200" w:right="0"/>
        <w:jc w:val="both"/>
        <w:rPr>
          <w:rFonts w:hint="eastAsia" w:ascii="宋体" w:hAnsi="宋体" w:eastAsia="宋体" w:cs="宋体"/>
          <w:color w:val="000000"/>
          <w:kern w:val="2"/>
          <w:sz w:val="24"/>
          <w:szCs w:val="24"/>
        </w:rPr>
      </w:pPr>
      <w:r>
        <w:rPr>
          <w:rFonts w:hint="default" w:ascii="Times New Roman" w:hAnsi="Times New Roman" w:eastAsia="宋体" w:cs="Times New Roman"/>
          <w:color w:val="000000"/>
          <w:kern w:val="2"/>
          <w:sz w:val="24"/>
          <w:szCs w:val="24"/>
          <w:lang w:val="en-US" w:eastAsia="zh-CN" w:bidi="ar"/>
        </w:rPr>
        <w:t>4</w:t>
      </w:r>
      <w:r>
        <w:rPr>
          <w:rFonts w:hint="eastAsia" w:ascii="宋体" w:hAnsi="宋体" w:eastAsia="宋体" w:cs="宋体"/>
          <w:color w:val="000000"/>
          <w:kern w:val="2"/>
          <w:sz w:val="24"/>
          <w:szCs w:val="24"/>
          <w:lang w:val="en-US" w:eastAsia="zh-CN" w:bidi="ar"/>
        </w:rPr>
        <w:t>）具备履行合同所必需的设备和专业技术能力。</w:t>
      </w:r>
    </w:p>
    <w:p w14:paraId="591CC65F">
      <w:pPr>
        <w:keepNext w:val="0"/>
        <w:keepLines w:val="0"/>
        <w:widowControl w:val="0"/>
        <w:suppressLineNumbers w:val="0"/>
        <w:spacing w:before="0" w:beforeAutospacing="0" w:after="0" w:afterAutospacing="0" w:line="360" w:lineRule="auto"/>
        <w:ind w:left="420" w:leftChars="200" w:right="0"/>
        <w:jc w:val="both"/>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5</w:t>
      </w:r>
      <w:r>
        <w:rPr>
          <w:rFonts w:hint="eastAsia" w:ascii="宋体" w:hAnsi="宋体" w:eastAsia="宋体" w:cs="宋体"/>
          <w:color w:val="000000"/>
          <w:kern w:val="2"/>
          <w:sz w:val="24"/>
          <w:szCs w:val="24"/>
          <w:lang w:val="en-US" w:eastAsia="zh-CN" w:bidi="ar"/>
        </w:rPr>
        <w:t>）投标人参加政府采购活动前三年内，在经营活动中没有重大违法记录（提供声明函，格式自拟）。</w:t>
      </w:r>
    </w:p>
    <w:p w14:paraId="7FEFB888">
      <w:pPr>
        <w:keepNext w:val="0"/>
        <w:keepLines w:val="0"/>
        <w:widowControl w:val="0"/>
        <w:suppressLineNumbers w:val="0"/>
        <w:spacing w:before="0" w:beforeAutospacing="0" w:after="0" w:afterAutospacing="0" w:line="360" w:lineRule="auto"/>
        <w:ind w:left="210" w:leftChars="100" w:right="0" w:firstLine="240" w:firstLineChars="100"/>
        <w:jc w:val="both"/>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6</w:t>
      </w:r>
      <w:r>
        <w:rPr>
          <w:rFonts w:hint="eastAsia" w:ascii="宋体" w:hAnsi="宋体" w:eastAsia="宋体" w:cs="宋体"/>
          <w:color w:val="000000"/>
          <w:kern w:val="2"/>
          <w:sz w:val="24"/>
          <w:szCs w:val="24"/>
          <w:lang w:val="en-US" w:eastAsia="zh-CN" w:bidi="ar"/>
        </w:rPr>
        <w:t>）投标人必须符合法律、行政法规规定的其他条件。</w:t>
      </w:r>
    </w:p>
    <w:p w14:paraId="78A6936F">
      <w:pPr>
        <w:keepNext w:val="0"/>
        <w:keepLines w:val="0"/>
        <w:widowControl w:val="0"/>
        <w:suppressLineNumbers w:val="0"/>
        <w:spacing w:before="0" w:beforeAutospacing="0" w:after="0" w:afterAutospacing="0" w:line="360" w:lineRule="auto"/>
        <w:ind w:left="0" w:right="0" w:firstLine="240" w:firstLineChars="100"/>
        <w:jc w:val="both"/>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2.</w:t>
      </w:r>
      <w:r>
        <w:rPr>
          <w:rFonts w:hint="eastAsia" w:ascii="宋体" w:hAnsi="宋体" w:eastAsia="宋体" w:cs="宋体"/>
          <w:color w:val="000000"/>
          <w:kern w:val="2"/>
          <w:sz w:val="24"/>
          <w:szCs w:val="24"/>
          <w:lang w:val="en-US" w:eastAsia="zh-CN" w:bidi="ar"/>
        </w:rPr>
        <w:t>已登记报名并获取本项目招标文件。</w:t>
      </w:r>
    </w:p>
    <w:p w14:paraId="65DF346B">
      <w:pPr>
        <w:keepNext w:val="0"/>
        <w:keepLines w:val="0"/>
        <w:widowControl w:val="0"/>
        <w:suppressLineNumbers w:val="0"/>
        <w:spacing w:before="0" w:beforeAutospacing="0" w:after="0" w:afterAutospacing="0" w:line="360" w:lineRule="auto"/>
        <w:ind w:left="0" w:right="0" w:firstLine="240" w:firstLineChars="100"/>
        <w:jc w:val="both"/>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3.</w:t>
      </w:r>
      <w:r>
        <w:rPr>
          <w:rFonts w:hint="eastAsia" w:ascii="宋体" w:hAnsi="宋体" w:eastAsia="宋体" w:cs="宋体"/>
          <w:color w:val="000000"/>
          <w:kern w:val="2"/>
          <w:sz w:val="24"/>
          <w:szCs w:val="24"/>
          <w:lang w:val="en-US" w:eastAsia="zh-CN" w:bidi="ar"/>
        </w:rPr>
        <w:t>本项目不接受联合体投标。</w:t>
      </w:r>
    </w:p>
    <w:p w14:paraId="393A86D7">
      <w:pPr>
        <w:keepNext w:val="0"/>
        <w:keepLines w:val="0"/>
        <w:widowControl w:val="0"/>
        <w:suppressLineNumbers w:val="0"/>
        <w:spacing w:before="0" w:beforeAutospacing="0" w:after="0" w:afterAutospacing="0" w:line="360" w:lineRule="auto"/>
        <w:ind w:left="0" w:right="0" w:firstLine="240" w:firstLineChars="100"/>
        <w:jc w:val="both"/>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4.</w:t>
      </w:r>
      <w:r>
        <w:rPr>
          <w:rFonts w:hint="eastAsia" w:ascii="宋体" w:hAnsi="宋体" w:eastAsia="宋体" w:cs="宋体"/>
          <w:color w:val="000000"/>
          <w:kern w:val="2"/>
          <w:sz w:val="24"/>
          <w:szCs w:val="24"/>
          <w:lang w:val="en-US" w:eastAsia="zh-CN" w:bidi="ar"/>
        </w:rPr>
        <w:t>投标人未被列入</w:t>
      </w:r>
      <w:r>
        <w:rPr>
          <w:rFonts w:hint="default" w:ascii="Times New Roman" w:hAnsi="Times New Roman" w:eastAsia="宋体" w:cs="Times New Roman"/>
          <w:color w:val="000000"/>
          <w:kern w:val="2"/>
          <w:sz w:val="24"/>
          <w:szCs w:val="24"/>
          <w:lang w:val="en-US" w:eastAsia="zh-CN" w:bidi="ar"/>
        </w:rPr>
        <w:t>“</w:t>
      </w:r>
      <w:r>
        <w:rPr>
          <w:rFonts w:hint="eastAsia" w:ascii="宋体" w:hAnsi="宋体" w:eastAsia="宋体" w:cs="宋体"/>
          <w:color w:val="000000"/>
          <w:kern w:val="2"/>
          <w:sz w:val="24"/>
          <w:szCs w:val="24"/>
          <w:lang w:val="en-US" w:eastAsia="zh-CN" w:bidi="ar"/>
        </w:rPr>
        <w:t>信用中国</w:t>
      </w:r>
      <w:r>
        <w:rPr>
          <w:rFonts w:hint="default" w:ascii="Times New Roman" w:hAnsi="Times New Roman" w:eastAsia="宋体" w:cs="Times New Roman"/>
          <w:color w:val="000000"/>
          <w:kern w:val="2"/>
          <w:sz w:val="24"/>
          <w:szCs w:val="24"/>
          <w:lang w:val="en-US" w:eastAsia="zh-CN" w:bidi="ar"/>
        </w:rPr>
        <w:t>”</w:t>
      </w:r>
      <w:r>
        <w:rPr>
          <w:rFonts w:hint="eastAsia" w:ascii="宋体" w:hAnsi="宋体" w:eastAsia="宋体" w:cs="宋体"/>
          <w:color w:val="000000"/>
          <w:kern w:val="2"/>
          <w:sz w:val="24"/>
          <w:szCs w:val="24"/>
          <w:lang w:val="en-US" w:eastAsia="zh-CN" w:bidi="ar"/>
        </w:rPr>
        <w:t>网站</w:t>
      </w:r>
      <w:r>
        <w:rPr>
          <w:rFonts w:hint="default" w:ascii="Times New Roman" w:hAnsi="Times New Roman" w:eastAsia="宋体" w:cs="Times New Roman"/>
          <w:color w:val="000000"/>
          <w:kern w:val="2"/>
          <w:sz w:val="24"/>
          <w:szCs w:val="24"/>
          <w:lang w:val="en-US" w:eastAsia="zh-CN" w:bidi="ar"/>
        </w:rPr>
        <w:t>(www.creditchina.gov.cn)“</w:t>
      </w:r>
      <w:r>
        <w:rPr>
          <w:rFonts w:hint="eastAsia" w:ascii="宋体" w:hAnsi="宋体" w:eastAsia="宋体" w:cs="宋体"/>
          <w:color w:val="000000"/>
          <w:kern w:val="2"/>
          <w:sz w:val="24"/>
          <w:szCs w:val="24"/>
          <w:lang w:val="en-US" w:eastAsia="zh-CN" w:bidi="ar"/>
        </w:rPr>
        <w:t>记录失信被执行人或重大税收违法案件当事人名单或政府采购严重违法失信行为</w:t>
      </w:r>
      <w:r>
        <w:rPr>
          <w:rFonts w:hint="default" w:ascii="Times New Roman" w:hAnsi="Times New Roman" w:eastAsia="宋体" w:cs="Times New Roman"/>
          <w:color w:val="000000"/>
          <w:kern w:val="2"/>
          <w:sz w:val="24"/>
          <w:szCs w:val="24"/>
          <w:lang w:val="en-US" w:eastAsia="zh-CN" w:bidi="ar"/>
        </w:rPr>
        <w:t>”</w:t>
      </w:r>
      <w:r>
        <w:rPr>
          <w:rFonts w:hint="eastAsia" w:ascii="宋体" w:hAnsi="宋体" w:eastAsia="宋体" w:cs="宋体"/>
          <w:color w:val="000000"/>
          <w:kern w:val="2"/>
          <w:sz w:val="24"/>
          <w:szCs w:val="24"/>
          <w:lang w:val="en-US" w:eastAsia="zh-CN" w:bidi="ar"/>
        </w:rPr>
        <w:t>记录名单。（采购人将于投标截止日当天在</w:t>
      </w:r>
      <w:r>
        <w:rPr>
          <w:rFonts w:hint="default" w:ascii="Times New Roman" w:hAnsi="Times New Roman" w:eastAsia="宋体" w:cs="Times New Roman"/>
          <w:color w:val="000000"/>
          <w:kern w:val="2"/>
          <w:sz w:val="24"/>
          <w:szCs w:val="24"/>
          <w:lang w:val="en-US" w:eastAsia="zh-CN" w:bidi="ar"/>
        </w:rPr>
        <w:t>“</w:t>
      </w:r>
      <w:r>
        <w:rPr>
          <w:rFonts w:hint="eastAsia" w:ascii="宋体" w:hAnsi="宋体" w:eastAsia="宋体" w:cs="宋体"/>
          <w:color w:val="000000"/>
          <w:kern w:val="2"/>
          <w:sz w:val="24"/>
          <w:szCs w:val="24"/>
          <w:lang w:val="en-US" w:eastAsia="zh-CN" w:bidi="ar"/>
        </w:rPr>
        <w:t>信用中国</w:t>
      </w:r>
      <w:r>
        <w:rPr>
          <w:rFonts w:hint="default" w:ascii="Times New Roman" w:hAnsi="Times New Roman" w:eastAsia="宋体" w:cs="Times New Roman"/>
          <w:color w:val="000000"/>
          <w:kern w:val="2"/>
          <w:sz w:val="24"/>
          <w:szCs w:val="24"/>
          <w:lang w:val="en-US" w:eastAsia="zh-CN" w:bidi="ar"/>
        </w:rPr>
        <w:t>”</w:t>
      </w:r>
      <w:r>
        <w:rPr>
          <w:rFonts w:hint="eastAsia" w:ascii="宋体" w:hAnsi="宋体" w:eastAsia="宋体" w:cs="宋体"/>
          <w:color w:val="000000"/>
          <w:kern w:val="2"/>
          <w:sz w:val="24"/>
          <w:szCs w:val="24"/>
          <w:lang w:val="en-US" w:eastAsia="zh-CN" w:bidi="ar"/>
        </w:rPr>
        <w:t>网站（</w:t>
      </w:r>
      <w:r>
        <w:rPr>
          <w:rFonts w:hint="default" w:ascii="Times New Roman" w:hAnsi="Times New Roman" w:eastAsia="宋体" w:cs="Times New Roman"/>
          <w:color w:val="000000"/>
          <w:kern w:val="2"/>
          <w:sz w:val="24"/>
          <w:szCs w:val="24"/>
          <w:lang w:val="en-US" w:eastAsia="zh-CN" w:bidi="ar"/>
        </w:rPr>
        <w:t>www.creditchina.gov.cn</w:t>
      </w:r>
      <w:r>
        <w:rPr>
          <w:rFonts w:hint="eastAsia" w:ascii="宋体" w:hAnsi="宋体" w:eastAsia="宋体" w:cs="宋体"/>
          <w:color w:val="000000"/>
          <w:kern w:val="2"/>
          <w:sz w:val="24"/>
          <w:szCs w:val="24"/>
          <w:lang w:val="en-US" w:eastAsia="zh-CN" w:bidi="ar"/>
        </w:rPr>
        <w:t>）上查询相关信息。如查询结果未发现失信行为，视为评审时投标人符合本款要求）</w:t>
      </w:r>
    </w:p>
    <w:p w14:paraId="398B4F0A">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color w:val="000000"/>
          <w:kern w:val="2"/>
          <w:sz w:val="24"/>
          <w:szCs w:val="24"/>
          <w:lang w:val="en-US" w:eastAsia="zh-CN" w:bidi="ar"/>
        </w:rPr>
      </w:pPr>
      <w:r>
        <w:rPr>
          <w:rFonts w:hint="default" w:ascii="Times New Roman" w:hAnsi="Times New Roman" w:eastAsia="宋体" w:cs="Times New Roman"/>
          <w:color w:val="000000"/>
          <w:kern w:val="2"/>
          <w:sz w:val="24"/>
          <w:szCs w:val="24"/>
          <w:lang w:val="en-US" w:eastAsia="zh-CN" w:bidi="ar"/>
        </w:rPr>
        <w:t>5.</w:t>
      </w:r>
      <w:r>
        <w:rPr>
          <w:rFonts w:hint="eastAsia" w:ascii="宋体" w:hAnsi="宋体" w:eastAsia="宋体" w:cs="宋体"/>
          <w:color w:val="000000"/>
          <w:kern w:val="2"/>
          <w:sz w:val="24"/>
          <w:szCs w:val="24"/>
          <w:lang w:val="en-US" w:eastAsia="zh-CN" w:bidi="ar"/>
        </w:rPr>
        <w:t>单位负责人为同一人或者存在直接控股、管理关系的不同投标人，不得同时参加本采购项目投标。</w:t>
      </w:r>
    </w:p>
    <w:p w14:paraId="433F1708">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6.具有消防设施工程专业承包壹级资质和消防设施工程设计专项乙级（或以上）资质。</w:t>
      </w:r>
    </w:p>
    <w:p w14:paraId="2A91B3F8">
      <w:pPr>
        <w:keepNext w:val="0"/>
        <w:keepLines w:val="0"/>
        <w:widowControl w:val="0"/>
        <w:suppressLineNumbers w:val="0"/>
        <w:spacing w:before="0" w:beforeAutospacing="0" w:after="0" w:afterAutospacing="0" w:line="360" w:lineRule="auto"/>
        <w:ind w:left="0" w:right="0" w:firstLine="240" w:firstLineChars="100"/>
        <w:jc w:val="both"/>
        <w:rPr>
          <w:rFonts w:hint="eastAsia" w:ascii="宋体" w:hAnsi="宋体" w:eastAsia="Tahoma" w:cs="宋体"/>
          <w:color w:val="000000"/>
          <w:kern w:val="2"/>
          <w:sz w:val="24"/>
          <w:szCs w:val="24"/>
          <w:lang w:val="en-US" w:eastAsia="zh" w:bidi="ar"/>
          <w:woUserID w:val="1"/>
        </w:rPr>
      </w:pPr>
      <w:r>
        <w:rPr>
          <w:rFonts w:hint="eastAsia" w:ascii="宋体" w:hAnsi="宋体" w:eastAsia="宋体" w:cs="宋体"/>
          <w:color w:val="000000"/>
          <w:kern w:val="2"/>
          <w:sz w:val="24"/>
          <w:szCs w:val="24"/>
          <w:lang w:val="en-US" w:eastAsia="zh-CN" w:bidi="ar"/>
          <w:woUserID w:val="1"/>
        </w:rPr>
        <w:t>7.具备有效期内的</w:t>
      </w:r>
      <w:r>
        <w:rPr>
          <w:rFonts w:hint="default" w:ascii="Tahoma" w:hAnsi="Tahoma" w:eastAsia="Tahoma" w:cs="Tahoma"/>
          <w:kern w:val="0"/>
          <w:sz w:val="24"/>
          <w:szCs w:val="24"/>
          <w:lang w:val="en-US" w:eastAsia="zh-CN" w:bidi="ar"/>
          <w:woUserID w:val="1"/>
        </w:rPr>
        <w:t>《安全生产许可证》</w:t>
      </w:r>
      <w:r>
        <w:rPr>
          <w:rFonts w:hint="eastAsia" w:ascii="Tahoma" w:hAnsi="Tahoma" w:eastAsia="Tahoma" w:cs="Tahoma"/>
          <w:kern w:val="0"/>
          <w:sz w:val="24"/>
          <w:szCs w:val="24"/>
          <w:lang w:val="en-US" w:eastAsia="zh" w:bidi="ar"/>
          <w:woUserID w:val="1"/>
        </w:rPr>
        <w:t>。</w:t>
      </w:r>
    </w:p>
    <w:p w14:paraId="35965BBD">
      <w:pPr>
        <w:keepNext w:val="0"/>
        <w:keepLines w:val="0"/>
        <w:widowControl w:val="0"/>
        <w:suppressLineNumbers w:val="0"/>
        <w:spacing w:before="120" w:beforeLines="50" w:beforeAutospacing="0" w:after="0" w:afterAutospacing="0" w:line="360" w:lineRule="auto"/>
        <w:ind w:left="240" w:right="0" w:hanging="240" w:hangingChars="100"/>
        <w:jc w:val="both"/>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七、本项目只接受网上报名的方式，符合资格的供应商应当在</w:t>
      </w:r>
      <w:r>
        <w:rPr>
          <w:rFonts w:hint="default" w:ascii="Times New Roman" w:hAnsi="Times New Roman" w:eastAsia="宋体" w:cs="Times New Roman"/>
          <w:color w:val="0000FF"/>
          <w:kern w:val="2"/>
          <w:sz w:val="24"/>
          <w:szCs w:val="24"/>
          <w:lang w:val="en-US" w:eastAsia="zh-CN" w:bidi="ar"/>
        </w:rPr>
        <w:t>2025</w:t>
      </w:r>
      <w:r>
        <w:rPr>
          <w:rFonts w:hint="eastAsia" w:ascii="宋体" w:hAnsi="宋体" w:eastAsia="宋体" w:cs="宋体"/>
          <w:color w:val="0000FF"/>
          <w:kern w:val="2"/>
          <w:sz w:val="24"/>
          <w:szCs w:val="24"/>
          <w:lang w:val="en-US" w:eastAsia="zh-CN" w:bidi="ar"/>
        </w:rPr>
        <w:t>年</w:t>
      </w:r>
      <w:r>
        <w:rPr>
          <w:rFonts w:hint="eastAsia" w:ascii="宋体" w:hAnsi="宋体" w:eastAsia="宋体" w:cs="宋体"/>
          <w:color w:val="0000FF"/>
          <w:kern w:val="2"/>
          <w:sz w:val="24"/>
          <w:szCs w:val="24"/>
          <w:lang w:val="en-US" w:eastAsia="zh-CN" w:bidi="ar"/>
          <w:woUserID w:val="1"/>
        </w:rPr>
        <w:t>11</w:t>
      </w:r>
      <w:r>
        <w:rPr>
          <w:rFonts w:hint="eastAsia" w:ascii="宋体" w:hAnsi="宋体" w:eastAsia="宋体" w:cs="宋体"/>
          <w:color w:val="0000FF"/>
          <w:kern w:val="2"/>
          <w:sz w:val="24"/>
          <w:szCs w:val="24"/>
          <w:lang w:val="en-US" w:eastAsia="zh-CN" w:bidi="ar"/>
        </w:rPr>
        <w:t>月27日至</w:t>
      </w:r>
      <w:r>
        <w:rPr>
          <w:rFonts w:hint="default" w:ascii="Times New Roman" w:hAnsi="Times New Roman" w:eastAsia="宋体" w:cs="Times New Roman"/>
          <w:color w:val="0000FF"/>
          <w:kern w:val="2"/>
          <w:sz w:val="24"/>
          <w:szCs w:val="24"/>
          <w:lang w:val="en-US" w:eastAsia="zh-CN" w:bidi="ar"/>
        </w:rPr>
        <w:t>2025</w:t>
      </w:r>
      <w:r>
        <w:rPr>
          <w:rFonts w:hint="eastAsia" w:ascii="宋体" w:hAnsi="宋体" w:eastAsia="宋体" w:cs="宋体"/>
          <w:color w:val="0000FF"/>
          <w:kern w:val="2"/>
          <w:sz w:val="24"/>
          <w:szCs w:val="24"/>
          <w:lang w:val="en-US" w:eastAsia="zh-CN" w:bidi="ar"/>
        </w:rPr>
        <w:t>年</w:t>
      </w:r>
      <w:r>
        <w:rPr>
          <w:rFonts w:hint="eastAsia" w:ascii="宋体" w:hAnsi="宋体" w:eastAsia="宋体" w:cs="宋体"/>
          <w:color w:val="0000FF"/>
          <w:kern w:val="2"/>
          <w:sz w:val="24"/>
          <w:szCs w:val="24"/>
          <w:lang w:val="en-US" w:eastAsia="zh-CN" w:bidi="ar"/>
          <w:woUserID w:val="1"/>
        </w:rPr>
        <w:t>12</w:t>
      </w:r>
      <w:r>
        <w:rPr>
          <w:rFonts w:hint="eastAsia" w:ascii="宋体" w:hAnsi="宋体" w:eastAsia="宋体" w:cs="宋体"/>
          <w:color w:val="0000FF"/>
          <w:kern w:val="2"/>
          <w:sz w:val="24"/>
          <w:szCs w:val="24"/>
          <w:lang w:val="en-US" w:eastAsia="zh-CN" w:bidi="ar"/>
        </w:rPr>
        <w:t>月</w:t>
      </w:r>
      <w:r>
        <w:rPr>
          <w:rFonts w:hint="eastAsia" w:ascii="宋体" w:hAnsi="宋体" w:eastAsia="宋体" w:cs="宋体"/>
          <w:color w:val="0000FF"/>
          <w:kern w:val="2"/>
          <w:sz w:val="24"/>
          <w:szCs w:val="24"/>
          <w:lang w:val="en-US" w:eastAsia="zh-CN" w:bidi="ar"/>
          <w:woUserID w:val="1"/>
        </w:rPr>
        <w:t>3</w:t>
      </w:r>
      <w:r>
        <w:rPr>
          <w:rFonts w:hint="eastAsia" w:ascii="宋体" w:hAnsi="宋体" w:eastAsia="宋体" w:cs="宋体"/>
          <w:color w:val="0000FF"/>
          <w:kern w:val="2"/>
          <w:sz w:val="24"/>
          <w:szCs w:val="24"/>
          <w:lang w:val="en-US" w:eastAsia="zh-CN" w:bidi="ar"/>
        </w:rPr>
        <w:t>日</w:t>
      </w:r>
      <w:r>
        <w:rPr>
          <w:rFonts w:hint="eastAsia" w:ascii="宋体" w:hAnsi="宋体" w:eastAsia="宋体" w:cs="宋体"/>
          <w:color w:val="000000"/>
          <w:kern w:val="2"/>
          <w:sz w:val="24"/>
          <w:szCs w:val="24"/>
          <w:lang w:val="en-US" w:eastAsia="zh-CN" w:bidi="ar"/>
        </w:rPr>
        <w:t>期间（工作日上午</w:t>
      </w:r>
      <w:r>
        <w:rPr>
          <w:rFonts w:hint="default" w:ascii="Times New Roman" w:hAnsi="Times New Roman" w:eastAsia="宋体" w:cs="Times New Roman"/>
          <w:color w:val="000000"/>
          <w:kern w:val="2"/>
          <w:sz w:val="24"/>
          <w:szCs w:val="24"/>
          <w:lang w:val="en-US" w:eastAsia="zh-CN" w:bidi="ar"/>
        </w:rPr>
        <w:t>9:00—</w:t>
      </w:r>
      <w:r>
        <w:rPr>
          <w:rFonts w:hint="eastAsia" w:ascii="宋体" w:hAnsi="宋体" w:eastAsia="宋体" w:cs="宋体"/>
          <w:color w:val="000000"/>
          <w:kern w:val="2"/>
          <w:sz w:val="24"/>
          <w:szCs w:val="24"/>
          <w:lang w:val="en-US" w:eastAsia="zh-CN" w:bidi="ar"/>
        </w:rPr>
        <w:t>下午</w:t>
      </w:r>
      <w:r>
        <w:rPr>
          <w:rFonts w:hint="default" w:ascii="Times New Roman" w:hAnsi="Times New Roman" w:eastAsia="宋体" w:cs="Times New Roman"/>
          <w:color w:val="000000"/>
          <w:kern w:val="2"/>
          <w:sz w:val="24"/>
          <w:szCs w:val="24"/>
          <w:lang w:val="en-US" w:eastAsia="zh-CN" w:bidi="ar"/>
        </w:rPr>
        <w:t>16:30</w:t>
      </w:r>
      <w:r>
        <w:rPr>
          <w:rFonts w:hint="eastAsia" w:ascii="宋体" w:hAnsi="宋体" w:eastAsia="宋体" w:cs="宋体"/>
          <w:color w:val="000000"/>
          <w:kern w:val="2"/>
          <w:sz w:val="24"/>
          <w:szCs w:val="24"/>
          <w:lang w:val="en-US" w:eastAsia="zh-CN" w:bidi="ar"/>
        </w:rPr>
        <w:t>）访问广州美术学院招标采购管理系统（</w:t>
      </w:r>
      <w:r>
        <w:rPr>
          <w:rFonts w:hint="default" w:ascii="Times New Roman" w:hAnsi="Times New Roman" w:eastAsia="宋体" w:cs="Times New Roman"/>
          <w:color w:val="000000"/>
          <w:kern w:val="2"/>
          <w:sz w:val="24"/>
          <w:szCs w:val="24"/>
          <w:lang w:val="en-US" w:eastAsia="zh-CN" w:bidi="ar"/>
        </w:rPr>
        <w:t>https://cgzx.gzarts.edu.cn/gateway.do</w:t>
      </w:r>
      <w:r>
        <w:rPr>
          <w:rFonts w:hint="eastAsia" w:ascii="宋体" w:hAnsi="宋体" w:eastAsia="宋体" w:cs="宋体"/>
          <w:color w:val="000000"/>
          <w:kern w:val="2"/>
          <w:sz w:val="24"/>
          <w:szCs w:val="24"/>
          <w:lang w:val="en-US" w:eastAsia="zh-CN" w:bidi="ar"/>
        </w:rPr>
        <w:t>）进行网上报名。如投标人尚未注册，请先进行注册完善资料并提交审核，只有审核通过的供应商才可以进行网上报名。</w:t>
      </w:r>
    </w:p>
    <w:p w14:paraId="6E5B384D">
      <w:pPr>
        <w:keepNext w:val="0"/>
        <w:keepLines w:val="0"/>
        <w:widowControl w:val="0"/>
        <w:suppressLineNumbers w:val="0"/>
        <w:spacing w:before="120" w:beforeLines="50" w:beforeAutospacing="0" w:after="0" w:afterAutospacing="0" w:line="360" w:lineRule="auto"/>
        <w:ind w:left="0" w:right="0"/>
        <w:jc w:val="both"/>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八、递交投标文件时间及开标时间、开标地点</w:t>
      </w:r>
    </w:p>
    <w:p w14:paraId="0B2A89F3">
      <w:pPr>
        <w:keepNext w:val="0"/>
        <w:keepLines w:val="0"/>
        <w:widowControl/>
        <w:suppressLineNumbers w:val="0"/>
        <w:spacing w:before="0" w:beforeAutospacing="0" w:after="0" w:afterAutospacing="0" w:line="360" w:lineRule="auto"/>
        <w:ind w:left="0" w:right="0" w:firstLine="240" w:firstLineChars="100"/>
        <w:jc w:val="both"/>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 xml:space="preserve">1. </w:t>
      </w:r>
      <w:r>
        <w:rPr>
          <w:rFonts w:hint="eastAsia" w:ascii="宋体" w:hAnsi="宋体" w:eastAsia="宋体" w:cs="宋体"/>
          <w:color w:val="000000"/>
          <w:kern w:val="2"/>
          <w:sz w:val="24"/>
          <w:szCs w:val="24"/>
          <w:lang w:val="en-US" w:eastAsia="zh-CN" w:bidi="ar"/>
        </w:rPr>
        <w:t>递交投标文件时间：</w:t>
      </w:r>
      <w:r>
        <w:rPr>
          <w:rFonts w:hint="default" w:ascii="Times New Roman" w:hAnsi="Times New Roman" w:eastAsia="宋体" w:cs="Times New Roman"/>
          <w:color w:val="0000FF"/>
          <w:kern w:val="2"/>
          <w:sz w:val="24"/>
          <w:szCs w:val="24"/>
          <w:lang w:val="en-US" w:eastAsia="zh-CN" w:bidi="ar"/>
        </w:rPr>
        <w:t>2025</w:t>
      </w:r>
      <w:r>
        <w:rPr>
          <w:rFonts w:hint="eastAsia" w:ascii="宋体" w:hAnsi="宋体" w:eastAsia="宋体" w:cs="宋体"/>
          <w:color w:val="0000FF"/>
          <w:kern w:val="2"/>
          <w:sz w:val="24"/>
          <w:szCs w:val="24"/>
          <w:lang w:val="en-US" w:eastAsia="zh-CN" w:bidi="ar"/>
        </w:rPr>
        <w:t>年</w:t>
      </w:r>
      <w:r>
        <w:rPr>
          <w:rFonts w:hint="eastAsia" w:ascii="宋体" w:hAnsi="宋体" w:eastAsia="宋体" w:cs="宋体"/>
          <w:color w:val="0000FF"/>
          <w:kern w:val="2"/>
          <w:sz w:val="24"/>
          <w:szCs w:val="24"/>
          <w:lang w:val="en-US" w:eastAsia="zh-CN" w:bidi="ar"/>
          <w:woUserID w:val="1"/>
        </w:rPr>
        <w:t>12</w:t>
      </w:r>
      <w:r>
        <w:rPr>
          <w:rFonts w:hint="eastAsia" w:ascii="宋体" w:hAnsi="宋体" w:eastAsia="宋体" w:cs="宋体"/>
          <w:color w:val="0000FF"/>
          <w:kern w:val="2"/>
          <w:sz w:val="24"/>
          <w:szCs w:val="24"/>
          <w:lang w:val="en-US" w:eastAsia="zh-CN" w:bidi="ar"/>
        </w:rPr>
        <w:t>月</w:t>
      </w:r>
      <w:r>
        <w:rPr>
          <w:rFonts w:hint="eastAsia" w:ascii="宋体" w:hAnsi="宋体" w:eastAsia="宋体" w:cs="宋体"/>
          <w:color w:val="0000FF"/>
          <w:kern w:val="2"/>
          <w:sz w:val="24"/>
          <w:szCs w:val="24"/>
          <w:lang w:val="en-US" w:eastAsia="zh-CN" w:bidi="ar"/>
          <w:woUserID w:val="1"/>
        </w:rPr>
        <w:t>4</w:t>
      </w:r>
      <w:r>
        <w:rPr>
          <w:rFonts w:hint="eastAsia" w:ascii="宋体" w:hAnsi="宋体" w:eastAsia="宋体" w:cs="宋体"/>
          <w:color w:val="0000FF"/>
          <w:kern w:val="2"/>
          <w:sz w:val="24"/>
          <w:szCs w:val="24"/>
          <w:lang w:val="en-US" w:eastAsia="zh-CN" w:bidi="ar"/>
        </w:rPr>
        <w:t>日上午</w:t>
      </w:r>
      <w:r>
        <w:rPr>
          <w:rFonts w:hint="default" w:ascii="Times New Roman" w:hAnsi="Times New Roman" w:eastAsia="宋体" w:cs="Times New Roman"/>
          <w:color w:val="0000FF"/>
          <w:kern w:val="2"/>
          <w:sz w:val="24"/>
          <w:szCs w:val="24"/>
          <w:lang w:val="en-US" w:eastAsia="zh-CN" w:bidi="ar"/>
        </w:rPr>
        <w:t>9:00--9:30</w:t>
      </w:r>
    </w:p>
    <w:p w14:paraId="3F6F038E">
      <w:pPr>
        <w:keepNext w:val="0"/>
        <w:keepLines w:val="0"/>
        <w:widowControl/>
        <w:suppressLineNumbers w:val="0"/>
        <w:spacing w:before="0" w:beforeAutospacing="0" w:after="0" w:afterAutospacing="0" w:line="360" w:lineRule="auto"/>
        <w:ind w:left="0" w:right="0" w:firstLine="240" w:firstLineChars="100"/>
        <w:jc w:val="both"/>
        <w:rPr>
          <w:rFonts w:hint="default" w:ascii="Times New Roman" w:hAnsi="Times New Roman" w:eastAsia="宋体" w:cs="Times New Roman"/>
          <w:color w:val="000000"/>
          <w:kern w:val="2"/>
          <w:sz w:val="24"/>
          <w:szCs w:val="24"/>
          <w:lang w:val="en-US"/>
        </w:rPr>
      </w:pPr>
      <w:r>
        <w:rPr>
          <w:rFonts w:hint="default" w:ascii="Times New Roman" w:hAnsi="Times New Roman" w:eastAsia="宋体" w:cs="Times New Roman"/>
          <w:color w:val="000000"/>
          <w:kern w:val="2"/>
          <w:sz w:val="24"/>
          <w:szCs w:val="24"/>
          <w:lang w:val="en-US" w:eastAsia="zh-CN" w:bidi="ar"/>
        </w:rPr>
        <w:t xml:space="preserve">2. </w:t>
      </w:r>
      <w:r>
        <w:rPr>
          <w:rFonts w:hint="eastAsia" w:ascii="宋体" w:hAnsi="宋体" w:eastAsia="宋体" w:cs="宋体"/>
          <w:color w:val="000000"/>
          <w:kern w:val="2"/>
          <w:sz w:val="24"/>
          <w:szCs w:val="24"/>
          <w:lang w:val="en-US" w:eastAsia="zh-CN" w:bidi="ar"/>
        </w:rPr>
        <w:t>开标时间：</w:t>
      </w:r>
      <w:r>
        <w:rPr>
          <w:rFonts w:hint="default" w:ascii="Times New Roman" w:hAnsi="Times New Roman" w:eastAsia="宋体" w:cs="Times New Roman"/>
          <w:color w:val="0000FF"/>
          <w:kern w:val="2"/>
          <w:sz w:val="24"/>
          <w:szCs w:val="24"/>
          <w:lang w:val="en-US" w:eastAsia="zh-CN" w:bidi="ar"/>
        </w:rPr>
        <w:t>2025</w:t>
      </w:r>
      <w:r>
        <w:rPr>
          <w:rFonts w:hint="eastAsia" w:ascii="宋体" w:hAnsi="宋体" w:eastAsia="宋体" w:cs="宋体"/>
          <w:color w:val="0000FF"/>
          <w:kern w:val="2"/>
          <w:sz w:val="24"/>
          <w:szCs w:val="24"/>
          <w:lang w:val="en-US" w:eastAsia="zh-CN" w:bidi="ar"/>
        </w:rPr>
        <w:t>年</w:t>
      </w:r>
      <w:r>
        <w:rPr>
          <w:rFonts w:hint="eastAsia" w:ascii="宋体" w:hAnsi="宋体" w:eastAsia="宋体" w:cs="宋体"/>
          <w:color w:val="0000FF"/>
          <w:kern w:val="2"/>
          <w:sz w:val="24"/>
          <w:szCs w:val="24"/>
          <w:lang w:val="en-US" w:eastAsia="zh-CN" w:bidi="ar"/>
          <w:woUserID w:val="1"/>
        </w:rPr>
        <w:t>12</w:t>
      </w:r>
      <w:r>
        <w:rPr>
          <w:rFonts w:hint="eastAsia" w:ascii="宋体" w:hAnsi="宋体" w:eastAsia="宋体" w:cs="宋体"/>
          <w:color w:val="0000FF"/>
          <w:kern w:val="2"/>
          <w:sz w:val="24"/>
          <w:szCs w:val="24"/>
          <w:lang w:val="en-US" w:eastAsia="zh-CN" w:bidi="ar"/>
        </w:rPr>
        <w:t>月</w:t>
      </w:r>
      <w:r>
        <w:rPr>
          <w:rFonts w:hint="eastAsia" w:ascii="宋体" w:hAnsi="宋体" w:eastAsia="宋体" w:cs="宋体"/>
          <w:color w:val="0000FF"/>
          <w:kern w:val="2"/>
          <w:sz w:val="24"/>
          <w:szCs w:val="24"/>
          <w:lang w:val="en-US" w:eastAsia="zh-CN" w:bidi="ar"/>
          <w:woUserID w:val="1"/>
        </w:rPr>
        <w:t>4</w:t>
      </w:r>
      <w:bookmarkStart w:id="0" w:name="_GoBack"/>
      <w:bookmarkEnd w:id="0"/>
      <w:r>
        <w:rPr>
          <w:rFonts w:hint="eastAsia" w:ascii="宋体" w:hAnsi="宋体" w:eastAsia="宋体" w:cs="宋体"/>
          <w:color w:val="0000FF"/>
          <w:kern w:val="2"/>
          <w:sz w:val="24"/>
          <w:szCs w:val="24"/>
          <w:lang w:val="en-US" w:eastAsia="zh-CN" w:bidi="ar"/>
        </w:rPr>
        <w:t>日上午10：00</w:t>
      </w:r>
    </w:p>
    <w:p w14:paraId="3645EA5F">
      <w:pPr>
        <w:keepNext w:val="0"/>
        <w:keepLines w:val="0"/>
        <w:widowControl/>
        <w:suppressLineNumbers w:val="0"/>
        <w:spacing w:before="0" w:beforeAutospacing="0" w:after="0" w:afterAutospacing="0" w:line="360" w:lineRule="auto"/>
        <w:ind w:left="0" w:right="0" w:firstLine="240" w:firstLineChars="100"/>
        <w:jc w:val="both"/>
        <w:rPr>
          <w:rFonts w:hint="eastAsia" w:ascii="宋体" w:hAnsi="宋体" w:eastAsia="宋体" w:cs="宋体"/>
          <w:color w:val="000000"/>
          <w:kern w:val="2"/>
          <w:sz w:val="24"/>
          <w:szCs w:val="24"/>
          <w:lang w:val="en-US" w:eastAsia="zh-CN" w:bidi="ar"/>
        </w:rPr>
      </w:pPr>
      <w:r>
        <w:rPr>
          <w:rFonts w:hint="default" w:ascii="Times New Roman" w:hAnsi="Times New Roman" w:eastAsia="宋体" w:cs="Times New Roman"/>
          <w:color w:val="000000"/>
          <w:kern w:val="2"/>
          <w:sz w:val="24"/>
          <w:szCs w:val="24"/>
          <w:lang w:val="en-US" w:eastAsia="zh-CN" w:bidi="ar"/>
        </w:rPr>
        <w:t xml:space="preserve">3. </w:t>
      </w:r>
      <w:r>
        <w:rPr>
          <w:rFonts w:hint="eastAsia" w:ascii="宋体" w:hAnsi="宋体" w:eastAsia="宋体" w:cs="宋体"/>
          <w:color w:val="000000"/>
          <w:kern w:val="2"/>
          <w:sz w:val="24"/>
          <w:szCs w:val="24"/>
          <w:lang w:val="en-US" w:eastAsia="zh-CN" w:bidi="ar"/>
        </w:rPr>
        <w:t>投标地点：广州市番禺区大学城外环西路</w:t>
      </w:r>
      <w:r>
        <w:rPr>
          <w:rFonts w:hint="default" w:ascii="Times New Roman" w:hAnsi="Times New Roman" w:eastAsia="宋体" w:cs="Times New Roman"/>
          <w:color w:val="000000"/>
          <w:kern w:val="2"/>
          <w:sz w:val="24"/>
          <w:szCs w:val="24"/>
          <w:lang w:val="en-US" w:eastAsia="zh-CN" w:bidi="ar"/>
        </w:rPr>
        <w:t>168</w:t>
      </w:r>
      <w:r>
        <w:rPr>
          <w:rFonts w:hint="eastAsia" w:ascii="宋体" w:hAnsi="宋体" w:eastAsia="宋体" w:cs="宋体"/>
          <w:color w:val="000000"/>
          <w:kern w:val="2"/>
          <w:sz w:val="24"/>
          <w:szCs w:val="24"/>
          <w:lang w:val="en-US" w:eastAsia="zh-CN" w:bidi="ar"/>
        </w:rPr>
        <w:t>号广州美术学院行政楼</w:t>
      </w:r>
      <w:r>
        <w:rPr>
          <w:rFonts w:hint="default" w:ascii="Times New Roman" w:hAnsi="Times New Roman" w:eastAsia="宋体" w:cs="Times New Roman"/>
          <w:color w:val="000000"/>
          <w:kern w:val="2"/>
          <w:sz w:val="24"/>
          <w:szCs w:val="24"/>
          <w:lang w:val="en-US" w:eastAsia="zh-CN" w:bidi="ar"/>
        </w:rPr>
        <w:t>629</w:t>
      </w:r>
      <w:r>
        <w:rPr>
          <w:rFonts w:hint="eastAsia" w:ascii="宋体" w:hAnsi="宋体" w:eastAsia="宋体" w:cs="宋体"/>
          <w:color w:val="000000"/>
          <w:kern w:val="2"/>
          <w:sz w:val="24"/>
          <w:szCs w:val="24"/>
          <w:lang w:val="en-US" w:eastAsia="zh-CN" w:bidi="ar"/>
        </w:rPr>
        <w:t>室</w:t>
      </w:r>
    </w:p>
    <w:p w14:paraId="7D18FA10">
      <w:pPr>
        <w:keepNext w:val="0"/>
        <w:keepLines w:val="0"/>
        <w:widowControl/>
        <w:suppressLineNumbers w:val="0"/>
        <w:spacing w:before="0" w:beforeAutospacing="0" w:after="0" w:afterAutospacing="0" w:line="360" w:lineRule="auto"/>
        <w:ind w:left="0" w:right="0" w:firstLine="240" w:firstLineChars="100"/>
        <w:jc w:val="both"/>
        <w:rPr>
          <w:rFonts w:hint="eastAsia" w:ascii="宋体" w:hAnsi="宋体" w:eastAsia="宋体" w:cs="宋体"/>
          <w:i w:val="0"/>
          <w:iCs w:val="0"/>
          <w:caps w:val="0"/>
          <w:color w:val="000000"/>
          <w:spacing w:val="0"/>
          <w:sz w:val="24"/>
          <w:szCs w:val="24"/>
          <w:u w:val="single"/>
          <w:shd w:val="clear" w:fill="FFFFFF"/>
        </w:rPr>
      </w:pPr>
      <w:r>
        <w:rPr>
          <w:rFonts w:hint="eastAsia" w:ascii="宋体" w:hAnsi="宋体" w:eastAsia="宋体" w:cs="宋体"/>
          <w:i w:val="0"/>
          <w:iCs w:val="0"/>
          <w:caps w:val="0"/>
          <w:color w:val="000000"/>
          <w:spacing w:val="0"/>
          <w:sz w:val="24"/>
          <w:szCs w:val="24"/>
          <w:u w:val="single"/>
          <w:shd w:val="clear" w:fill="FFFFFF"/>
        </w:rPr>
        <w:t>注</w:t>
      </w:r>
      <w:r>
        <w:rPr>
          <w:rFonts w:hint="eastAsia" w:ascii="宋体" w:hAnsi="宋体" w:eastAsia="宋体" w:cs="宋体"/>
          <w:i w:val="0"/>
          <w:iCs w:val="0"/>
          <w:caps w:val="0"/>
          <w:color w:val="000000"/>
          <w:spacing w:val="0"/>
          <w:sz w:val="24"/>
          <w:szCs w:val="24"/>
          <w:u w:val="single"/>
          <w:shd w:val="clear" w:fill="FFFFFF"/>
          <w:lang w:val="en-US" w:eastAsia="zh-CN"/>
        </w:rPr>
        <w:t>1</w:t>
      </w:r>
      <w:r>
        <w:rPr>
          <w:rFonts w:hint="eastAsia" w:ascii="宋体" w:hAnsi="宋体" w:eastAsia="宋体" w:cs="宋体"/>
          <w:i w:val="0"/>
          <w:iCs w:val="0"/>
          <w:caps w:val="0"/>
          <w:color w:val="000000"/>
          <w:spacing w:val="0"/>
          <w:sz w:val="24"/>
          <w:szCs w:val="24"/>
          <w:u w:val="single"/>
          <w:shd w:val="clear" w:fill="FFFFFF"/>
        </w:rPr>
        <w:t>：按照我校要求，在递交投标文件前，请填写《广州美术学院申请入校人员登记表》（可在采购公告页面下载）并至少提前一天发送至采购人邮箱</w:t>
      </w:r>
      <w:r>
        <w:rPr>
          <w:rFonts w:hint="eastAsia" w:ascii="宋体" w:hAnsi="宋体" w:eastAsia="宋体" w:cs="宋体"/>
          <w:i w:val="0"/>
          <w:iCs w:val="0"/>
          <w:caps w:val="0"/>
          <w:color w:val="000000"/>
          <w:spacing w:val="0"/>
          <w:sz w:val="24"/>
          <w:szCs w:val="24"/>
          <w:u w:val="single"/>
          <w:shd w:val="clear" w:fill="FFFFFF"/>
        </w:rPr>
        <w:fldChar w:fldCharType="begin"/>
      </w:r>
      <w:r>
        <w:rPr>
          <w:rFonts w:hint="eastAsia" w:ascii="宋体" w:hAnsi="宋体" w:eastAsia="宋体" w:cs="宋体"/>
          <w:i w:val="0"/>
          <w:iCs w:val="0"/>
          <w:caps w:val="0"/>
          <w:color w:val="000000"/>
          <w:spacing w:val="0"/>
          <w:sz w:val="24"/>
          <w:szCs w:val="24"/>
          <w:u w:val="single"/>
          <w:shd w:val="clear" w:fill="FFFFFF"/>
        </w:rPr>
        <w:instrText xml:space="preserve"> HYPERLINK "mailto:（cgzx@gzarts.edu.cn）。" </w:instrText>
      </w:r>
      <w:r>
        <w:rPr>
          <w:rFonts w:hint="eastAsia" w:ascii="宋体" w:hAnsi="宋体" w:eastAsia="宋体" w:cs="宋体"/>
          <w:i w:val="0"/>
          <w:iCs w:val="0"/>
          <w:caps w:val="0"/>
          <w:color w:val="000000"/>
          <w:spacing w:val="0"/>
          <w:sz w:val="24"/>
          <w:szCs w:val="24"/>
          <w:u w:val="single"/>
          <w:shd w:val="clear" w:fill="FFFFFF"/>
        </w:rPr>
        <w:fldChar w:fldCharType="separate"/>
      </w:r>
      <w:r>
        <w:rPr>
          <w:rStyle w:val="14"/>
          <w:rFonts w:hint="eastAsia" w:ascii="宋体" w:hAnsi="宋体" w:eastAsia="宋体" w:cs="宋体"/>
          <w:i w:val="0"/>
          <w:iCs w:val="0"/>
          <w:caps w:val="0"/>
          <w:spacing w:val="0"/>
          <w:sz w:val="24"/>
          <w:szCs w:val="24"/>
          <w:shd w:val="clear" w:fill="FFFFFF"/>
        </w:rPr>
        <w:t>（</w:t>
      </w:r>
      <w:r>
        <w:rPr>
          <w:rStyle w:val="14"/>
          <w:rFonts w:ascii="微软雅黑" w:hAnsi="微软雅黑" w:eastAsia="微软雅黑" w:cs="微软雅黑"/>
          <w:i w:val="0"/>
          <w:iCs w:val="0"/>
          <w:caps w:val="0"/>
          <w:spacing w:val="0"/>
          <w:sz w:val="24"/>
          <w:szCs w:val="24"/>
          <w:shd w:val="clear" w:fill="FFFFFF"/>
        </w:rPr>
        <w:t>cgzx@gzarts.edu.cn</w:t>
      </w:r>
      <w:r>
        <w:rPr>
          <w:rStyle w:val="14"/>
          <w:rFonts w:hint="eastAsia" w:ascii="宋体" w:hAnsi="宋体" w:eastAsia="宋体" w:cs="宋体"/>
          <w:i w:val="0"/>
          <w:iCs w:val="0"/>
          <w:caps w:val="0"/>
          <w:spacing w:val="0"/>
          <w:sz w:val="24"/>
          <w:szCs w:val="24"/>
          <w:shd w:val="clear" w:fill="FFFFFF"/>
        </w:rPr>
        <w:t>）。</w:t>
      </w:r>
      <w:r>
        <w:rPr>
          <w:rFonts w:hint="eastAsia" w:ascii="宋体" w:hAnsi="宋体" w:eastAsia="宋体" w:cs="宋体"/>
          <w:i w:val="0"/>
          <w:iCs w:val="0"/>
          <w:caps w:val="0"/>
          <w:color w:val="000000"/>
          <w:spacing w:val="0"/>
          <w:sz w:val="24"/>
          <w:szCs w:val="24"/>
          <w:u w:val="single"/>
          <w:shd w:val="clear" w:fill="FFFFFF"/>
        </w:rPr>
        <w:fldChar w:fldCharType="end"/>
      </w:r>
    </w:p>
    <w:p w14:paraId="6A6C7EAF">
      <w:pPr>
        <w:keepNext w:val="0"/>
        <w:keepLines w:val="0"/>
        <w:widowControl/>
        <w:suppressLineNumbers w:val="0"/>
        <w:spacing w:before="0" w:beforeAutospacing="0" w:after="0" w:afterAutospacing="0" w:line="360" w:lineRule="auto"/>
        <w:ind w:left="0" w:right="0" w:firstLine="240" w:firstLineChars="100"/>
        <w:jc w:val="both"/>
        <w:rPr>
          <w:rFonts w:hint="default" w:ascii="宋体" w:hAnsi="宋体" w:eastAsia="宋体" w:cs="宋体"/>
          <w:color w:val="000000"/>
          <w:kern w:val="2"/>
          <w:sz w:val="24"/>
          <w:szCs w:val="24"/>
          <w:lang w:val="en-US" w:eastAsia="zh-CN" w:bidi="ar"/>
        </w:rPr>
      </w:pPr>
      <w:r>
        <w:rPr>
          <w:rFonts w:hint="eastAsia" w:ascii="宋体" w:hAnsi="宋体" w:eastAsia="宋体" w:cs="宋体"/>
          <w:i w:val="0"/>
          <w:iCs w:val="0"/>
          <w:caps w:val="0"/>
          <w:color w:val="000000"/>
          <w:spacing w:val="0"/>
          <w:sz w:val="24"/>
          <w:szCs w:val="24"/>
          <w:u w:val="single"/>
          <w:shd w:val="clear" w:fill="FFFFFF"/>
          <w:lang w:val="en-US" w:eastAsia="zh-CN"/>
        </w:rPr>
        <w:t>注2：</w:t>
      </w:r>
      <w:r>
        <w:rPr>
          <w:rFonts w:hint="eastAsia" w:ascii="宋体" w:hAnsi="宋体" w:eastAsia="宋体" w:cs="宋体"/>
          <w:i w:val="0"/>
          <w:iCs w:val="0"/>
          <w:caps w:val="0"/>
          <w:color w:val="000000"/>
          <w:spacing w:val="0"/>
          <w:sz w:val="24"/>
          <w:szCs w:val="24"/>
          <w:u w:val="single"/>
          <w:shd w:val="clear" w:fill="FFFFFF"/>
        </w:rPr>
        <w:t>已在第一次挂网时递交过投标文件的服务商可不用再重复递交，只需在采购系统报名即可。</w:t>
      </w:r>
    </w:p>
    <w:p w14:paraId="5989BB68">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九、采购人联系方式：</w:t>
      </w:r>
      <w:r>
        <w:rPr>
          <w:rFonts w:hint="default" w:ascii="Times New Roman" w:hAnsi="Times New Roman" w:eastAsia="宋体" w:cs="Times New Roman"/>
          <w:color w:val="000000"/>
          <w:kern w:val="2"/>
          <w:sz w:val="24"/>
          <w:szCs w:val="24"/>
          <w:lang w:val="en-US" w:eastAsia="zh-CN" w:bidi="ar"/>
        </w:rPr>
        <w:t xml:space="preserve">                 </w:t>
      </w:r>
    </w:p>
    <w:p w14:paraId="31107021">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 xml:space="preserve">    </w:t>
      </w:r>
      <w:r>
        <w:rPr>
          <w:rFonts w:hint="eastAsia" w:ascii="宋体" w:hAnsi="宋体" w:eastAsia="宋体" w:cs="宋体"/>
          <w:color w:val="000000"/>
          <w:kern w:val="2"/>
          <w:sz w:val="24"/>
          <w:szCs w:val="24"/>
          <w:lang w:val="en-US" w:eastAsia="zh-CN" w:bidi="ar"/>
        </w:rPr>
        <w:t>采购人：广州美术学院</w:t>
      </w:r>
    </w:p>
    <w:p w14:paraId="54B3C94B">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 xml:space="preserve">    </w:t>
      </w:r>
      <w:r>
        <w:rPr>
          <w:rFonts w:hint="eastAsia" w:ascii="宋体" w:hAnsi="宋体" w:eastAsia="宋体" w:cs="宋体"/>
          <w:color w:val="000000"/>
          <w:kern w:val="2"/>
          <w:sz w:val="24"/>
          <w:szCs w:val="24"/>
          <w:lang w:val="en-US" w:eastAsia="zh-CN" w:bidi="ar"/>
        </w:rPr>
        <w:t>联系人：张老师</w:t>
      </w:r>
    </w:p>
    <w:p w14:paraId="3BF60A8C">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 xml:space="preserve">    </w:t>
      </w:r>
      <w:r>
        <w:rPr>
          <w:rFonts w:hint="eastAsia" w:ascii="宋体" w:hAnsi="宋体" w:eastAsia="宋体" w:cs="宋体"/>
          <w:color w:val="000000"/>
          <w:kern w:val="2"/>
          <w:sz w:val="24"/>
          <w:szCs w:val="24"/>
          <w:lang w:val="en-US" w:eastAsia="zh-CN" w:bidi="ar"/>
        </w:rPr>
        <w:t>电话：</w:t>
      </w:r>
      <w:r>
        <w:rPr>
          <w:rFonts w:hint="default" w:ascii="Times New Roman" w:hAnsi="Times New Roman" w:eastAsia="宋体" w:cs="Times New Roman"/>
          <w:color w:val="000000"/>
          <w:kern w:val="2"/>
          <w:sz w:val="24"/>
          <w:szCs w:val="24"/>
          <w:lang w:val="en-US" w:eastAsia="zh-CN" w:bidi="ar"/>
        </w:rPr>
        <w:t>020-39362116</w:t>
      </w:r>
    </w:p>
    <w:p w14:paraId="42BBD17F">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b/>
          <w:bCs w:val="0"/>
          <w:color w:val="000000"/>
          <w:kern w:val="0"/>
          <w:sz w:val="24"/>
          <w:szCs w:val="24"/>
          <w:shd w:val="clear" w:fill="FFFFFF"/>
        </w:rPr>
      </w:pPr>
      <w:r>
        <w:rPr>
          <w:rFonts w:hint="eastAsia" w:ascii="宋体" w:hAnsi="宋体" w:eastAsia="宋体" w:cs="宋体"/>
          <w:color w:val="000000"/>
          <w:kern w:val="2"/>
          <w:sz w:val="24"/>
          <w:szCs w:val="24"/>
          <w:lang w:val="en-US" w:eastAsia="zh-CN" w:bidi="ar"/>
        </w:rPr>
        <w:t>联系地址：广州市番禺区大学城外环西路</w:t>
      </w:r>
      <w:r>
        <w:rPr>
          <w:rFonts w:hint="default" w:ascii="Times New Roman" w:hAnsi="Times New Roman" w:eastAsia="宋体" w:cs="Times New Roman"/>
          <w:color w:val="000000"/>
          <w:kern w:val="2"/>
          <w:sz w:val="24"/>
          <w:szCs w:val="24"/>
          <w:lang w:val="en-US" w:eastAsia="zh-CN" w:bidi="ar"/>
        </w:rPr>
        <w:t>168</w:t>
      </w:r>
      <w:r>
        <w:rPr>
          <w:rFonts w:hint="eastAsia" w:ascii="宋体" w:hAnsi="宋体" w:eastAsia="宋体" w:cs="宋体"/>
          <w:color w:val="000000"/>
          <w:kern w:val="2"/>
          <w:sz w:val="24"/>
          <w:szCs w:val="24"/>
          <w:lang w:val="en-US" w:eastAsia="zh-CN" w:bidi="ar"/>
        </w:rPr>
        <w:t>号广州美术学院行政楼</w:t>
      </w:r>
      <w:r>
        <w:rPr>
          <w:rFonts w:hint="default" w:ascii="Times New Roman" w:hAnsi="Times New Roman" w:eastAsia="宋体" w:cs="Times New Roman"/>
          <w:color w:val="000000"/>
          <w:kern w:val="2"/>
          <w:sz w:val="24"/>
          <w:szCs w:val="24"/>
          <w:lang w:val="en-US" w:eastAsia="zh-CN" w:bidi="ar"/>
        </w:rPr>
        <w:t>629</w:t>
      </w:r>
      <w:r>
        <w:rPr>
          <w:rFonts w:hint="eastAsia" w:ascii="宋体" w:hAnsi="宋体" w:eastAsia="宋体" w:cs="宋体"/>
          <w:color w:val="000000"/>
          <w:kern w:val="2"/>
          <w:sz w:val="24"/>
          <w:szCs w:val="24"/>
          <w:lang w:val="en-US" w:eastAsia="zh-CN" w:bidi="ar"/>
        </w:rPr>
        <w:t>室。</w:t>
      </w:r>
      <w:r>
        <w:rPr>
          <w:rFonts w:hint="default" w:ascii="Times New Roman" w:hAnsi="Times New Roman" w:eastAsia="宋体" w:cs="Times New Roman"/>
          <w:b/>
          <w:bCs w:val="0"/>
          <w:color w:val="000000"/>
          <w:kern w:val="0"/>
          <w:sz w:val="24"/>
          <w:szCs w:val="24"/>
          <w:shd w:val="clear" w:fill="FFFFFF"/>
        </w:rPr>
        <w:br w:type="page"/>
      </w:r>
      <w:r>
        <w:rPr>
          <w:rFonts w:hint="eastAsia" w:ascii="宋体" w:hAnsi="宋体" w:eastAsia="宋体" w:cs="宋体"/>
          <w:b/>
          <w:bCs w:val="0"/>
          <w:color w:val="000000"/>
          <w:kern w:val="0"/>
          <w:sz w:val="28"/>
          <w:szCs w:val="28"/>
          <w:shd w:val="clear" w:fill="FFFFFF"/>
          <w:lang w:val="en-US" w:eastAsia="zh-CN" w:bidi="ar"/>
        </w:rPr>
        <w:t>第二部分</w:t>
      </w:r>
      <w:r>
        <w:rPr>
          <w:rFonts w:hint="default" w:ascii="Times New Roman" w:hAnsi="Times New Roman" w:eastAsia="宋体" w:cs="Times New Roman"/>
          <w:b/>
          <w:bCs w:val="0"/>
          <w:color w:val="000000"/>
          <w:kern w:val="0"/>
          <w:sz w:val="28"/>
          <w:szCs w:val="28"/>
          <w:shd w:val="clear" w:fill="FFFFFF"/>
          <w:lang w:val="en-US" w:eastAsia="zh-CN" w:bidi="ar"/>
        </w:rPr>
        <w:t xml:space="preserve">   </w:t>
      </w:r>
      <w:r>
        <w:rPr>
          <w:rFonts w:hint="eastAsia" w:ascii="宋体" w:hAnsi="宋体" w:eastAsia="宋体" w:cs="宋体"/>
          <w:b/>
          <w:bCs w:val="0"/>
          <w:color w:val="000000"/>
          <w:kern w:val="0"/>
          <w:sz w:val="28"/>
          <w:szCs w:val="28"/>
          <w:shd w:val="clear" w:fill="FFFFFF"/>
          <w:lang w:val="en-US" w:eastAsia="zh-CN" w:bidi="ar"/>
        </w:rPr>
        <w:t>投标须知</w:t>
      </w:r>
    </w:p>
    <w:p w14:paraId="6AEC60E0">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一、关于报价</w:t>
      </w:r>
    </w:p>
    <w:p w14:paraId="541D6C5D">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1.</w:t>
      </w:r>
      <w:r>
        <w:rPr>
          <w:rFonts w:hint="eastAsia" w:ascii="宋体" w:hAnsi="宋体" w:eastAsia="宋体" w:cs="宋体"/>
          <w:color w:val="000000"/>
          <w:kern w:val="2"/>
          <w:sz w:val="24"/>
          <w:szCs w:val="24"/>
          <w:lang w:val="en-US" w:eastAsia="zh-CN" w:bidi="ar"/>
        </w:rPr>
        <w:t>本次招标采用一次报价一次评审定标的方式，采购人拒绝接受有选择性的报价。投标人应根据招标文件中用户需求书的要求，对照投标报价表格式规定的填报内容进行逐项报价。</w:t>
      </w:r>
    </w:p>
    <w:p w14:paraId="77164D97">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2.</w:t>
      </w:r>
      <w:r>
        <w:rPr>
          <w:rFonts w:hint="eastAsia" w:ascii="宋体" w:hAnsi="宋体" w:eastAsia="宋体" w:cs="宋体"/>
          <w:color w:val="000000"/>
          <w:kern w:val="2"/>
          <w:sz w:val="24"/>
          <w:szCs w:val="24"/>
          <w:lang w:val="en-US" w:eastAsia="zh-CN" w:bidi="ar"/>
        </w:rPr>
        <w:t>除非投标文件另有规定，报价不是唯一的或不是固定不变的投标文件将被作为非响应性投标而予以拒绝。投标人所报的报价在报价有效期及合同执行期间是固定不变的，投标人不得以任何理由予以变更。</w:t>
      </w:r>
    </w:p>
    <w:p w14:paraId="200BF792">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二、评审方式</w:t>
      </w:r>
    </w:p>
    <w:p w14:paraId="566E6F7C">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本项目采用综合评审法。</w:t>
      </w:r>
    </w:p>
    <w:p w14:paraId="4FDF82B0">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三、关于投标费用</w:t>
      </w:r>
    </w:p>
    <w:p w14:paraId="2E925F3D">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投标人应承担所有与准备和参加投标有关的费用。不论投标的结果如何，采购人均无义务和责任承担这些费用。</w:t>
      </w:r>
    </w:p>
    <w:p w14:paraId="02EBDB13">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四、投标文件</w:t>
      </w:r>
    </w:p>
    <w:p w14:paraId="1BC0855E">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 xml:space="preserve">1. </w:t>
      </w:r>
      <w:r>
        <w:rPr>
          <w:rFonts w:hint="eastAsia" w:ascii="宋体" w:hAnsi="宋体" w:eastAsia="宋体" w:cs="宋体"/>
          <w:color w:val="000000"/>
          <w:kern w:val="2"/>
          <w:sz w:val="24"/>
          <w:szCs w:val="24"/>
          <w:lang w:val="en-US" w:eastAsia="zh-CN" w:bidi="ar"/>
        </w:rPr>
        <w:t>投标文件的编写</w:t>
      </w:r>
    </w:p>
    <w:p w14:paraId="17B2557B">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w:t>
      </w:r>
      <w:r>
        <w:rPr>
          <w:rFonts w:hint="default" w:ascii="Times New Roman" w:hAnsi="Times New Roman" w:eastAsia="宋体" w:cs="Times New Roman"/>
          <w:color w:val="000000"/>
          <w:kern w:val="2"/>
          <w:sz w:val="24"/>
          <w:szCs w:val="24"/>
          <w:lang w:val="en-US" w:eastAsia="zh-CN" w:bidi="ar"/>
        </w:rPr>
        <w:t>1</w:t>
      </w:r>
      <w:r>
        <w:rPr>
          <w:rFonts w:hint="eastAsia" w:ascii="宋体" w:hAnsi="宋体" w:eastAsia="宋体" w:cs="宋体"/>
          <w:color w:val="000000"/>
          <w:kern w:val="2"/>
          <w:sz w:val="24"/>
          <w:szCs w:val="24"/>
          <w:lang w:val="en-US" w:eastAsia="zh-CN" w:bidi="ar"/>
        </w:rPr>
        <w:t>）投标人应仔细阅读招标文件的所有内容，并按招标文件的规定，及附件要求的内容和格式，提交完整的投标文件。如因投标人只填写和提供了本文件要求的部分内容和附件，由此可能导致的结果和责任由投标人自行承担。</w:t>
      </w:r>
    </w:p>
    <w:p w14:paraId="5780265E">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 xml:space="preserve">(2) </w:t>
      </w:r>
      <w:r>
        <w:rPr>
          <w:rFonts w:hint="eastAsia" w:ascii="宋体" w:hAnsi="宋体" w:eastAsia="宋体" w:cs="宋体"/>
          <w:color w:val="000000"/>
          <w:kern w:val="2"/>
          <w:sz w:val="24"/>
          <w:szCs w:val="24"/>
          <w:lang w:val="en-US" w:eastAsia="zh-CN" w:bidi="ar"/>
        </w:rPr>
        <w:t>投标语言和计量单位</w:t>
      </w:r>
      <w:r>
        <w:rPr>
          <w:rFonts w:hint="default" w:ascii="Times New Roman" w:hAnsi="Times New Roman" w:eastAsia="宋体" w:cs="Times New Roman"/>
          <w:color w:val="000000"/>
          <w:kern w:val="2"/>
          <w:sz w:val="24"/>
          <w:szCs w:val="24"/>
          <w:lang w:val="en-US" w:eastAsia="zh-CN" w:bidi="ar"/>
        </w:rPr>
        <w:t xml:space="preserve">: </w:t>
      </w:r>
      <w:r>
        <w:rPr>
          <w:rFonts w:hint="eastAsia" w:ascii="宋体" w:hAnsi="宋体" w:eastAsia="宋体" w:cs="宋体"/>
          <w:color w:val="000000"/>
          <w:kern w:val="2"/>
          <w:sz w:val="24"/>
          <w:szCs w:val="24"/>
          <w:lang w:val="en-US" w:eastAsia="zh-CN" w:bidi="ar"/>
        </w:rPr>
        <w:t>投标文件和来往函件用中文书写，计量单位应使用中华人民共和国已定计量单位。（除非招标文件中另有规定）</w:t>
      </w:r>
    </w:p>
    <w:p w14:paraId="793FB385">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 xml:space="preserve">(3) </w:t>
      </w:r>
      <w:r>
        <w:rPr>
          <w:rFonts w:hint="eastAsia" w:ascii="宋体" w:hAnsi="宋体" w:eastAsia="宋体" w:cs="宋体"/>
          <w:color w:val="000000"/>
          <w:kern w:val="2"/>
          <w:sz w:val="24"/>
          <w:szCs w:val="24"/>
          <w:lang w:val="en-US" w:eastAsia="zh-CN" w:bidi="ar"/>
        </w:rPr>
        <w:t>投标人对本采购项目只允许有一个报价，采购人不接受任何有选择的报价。</w:t>
      </w:r>
    </w:p>
    <w:p w14:paraId="0E84186C">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 xml:space="preserve">(4) </w:t>
      </w:r>
      <w:r>
        <w:rPr>
          <w:rFonts w:hint="eastAsia" w:ascii="宋体" w:hAnsi="宋体" w:eastAsia="宋体" w:cs="宋体"/>
          <w:color w:val="000000"/>
          <w:kern w:val="2"/>
          <w:sz w:val="24"/>
          <w:szCs w:val="24"/>
          <w:lang w:val="en-US" w:eastAsia="zh-CN" w:bidi="ar"/>
        </w:rPr>
        <w:t>投标人须用人民币作为报价的货币单位。开标时，投标文件中报价一览表内容与投标文件中报价明细表内容不一致的，以报价一览表为准。报价一览表的大写金额和小写金额不一致的，以大写金额为准；总价金额与按单价汇总金额不一致的，以单价金额计算结果为准；单价金额小数点有明显错位的，应以总价为准，并修改单价。</w:t>
      </w:r>
    </w:p>
    <w:p w14:paraId="54AB68C0">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(5)</w:t>
      </w:r>
      <w:r>
        <w:rPr>
          <w:rFonts w:hint="eastAsia" w:ascii="宋体" w:hAnsi="宋体" w:eastAsia="宋体" w:cs="宋体"/>
          <w:color w:val="000000"/>
          <w:kern w:val="2"/>
          <w:sz w:val="24"/>
          <w:szCs w:val="24"/>
          <w:lang w:val="en-US" w:eastAsia="zh-CN" w:bidi="ar"/>
        </w:rPr>
        <w:t>本招标文件中，凡标有</w:t>
      </w:r>
      <w:r>
        <w:rPr>
          <w:rFonts w:hint="default" w:ascii="Times New Roman" w:hAnsi="Times New Roman" w:eastAsia="宋体" w:cs="Times New Roman"/>
          <w:color w:val="000000"/>
          <w:kern w:val="2"/>
          <w:sz w:val="24"/>
          <w:szCs w:val="24"/>
          <w:lang w:val="en-US" w:eastAsia="zh-CN" w:bidi="ar"/>
        </w:rPr>
        <w:t>“★”</w:t>
      </w:r>
      <w:r>
        <w:rPr>
          <w:rFonts w:hint="eastAsia" w:ascii="宋体" w:hAnsi="宋体" w:eastAsia="宋体" w:cs="宋体"/>
          <w:color w:val="000000"/>
          <w:kern w:val="2"/>
          <w:sz w:val="24"/>
          <w:szCs w:val="24"/>
          <w:lang w:val="en-US" w:eastAsia="zh-CN" w:bidi="ar"/>
        </w:rPr>
        <w:t>的地方均为须实质响应条款，投标人若有一项带</w:t>
      </w:r>
      <w:r>
        <w:rPr>
          <w:rFonts w:hint="default" w:ascii="Times New Roman" w:hAnsi="Times New Roman" w:eastAsia="宋体" w:cs="Times New Roman"/>
          <w:color w:val="000000"/>
          <w:kern w:val="2"/>
          <w:sz w:val="24"/>
          <w:szCs w:val="24"/>
          <w:lang w:val="en-US" w:eastAsia="zh-CN" w:bidi="ar"/>
        </w:rPr>
        <w:t>“★”</w:t>
      </w:r>
      <w:r>
        <w:rPr>
          <w:rFonts w:hint="eastAsia" w:ascii="宋体" w:hAnsi="宋体" w:eastAsia="宋体" w:cs="宋体"/>
          <w:color w:val="000000"/>
          <w:kern w:val="2"/>
          <w:sz w:val="24"/>
          <w:szCs w:val="24"/>
          <w:lang w:val="en-US" w:eastAsia="zh-CN" w:bidi="ar"/>
        </w:rPr>
        <w:t>的条款未响应或不满足，将按无效投标处理。</w:t>
      </w:r>
    </w:p>
    <w:p w14:paraId="1E93CC28">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2.</w:t>
      </w:r>
      <w:r>
        <w:rPr>
          <w:rFonts w:hint="eastAsia" w:ascii="宋体" w:hAnsi="宋体" w:eastAsia="宋体" w:cs="宋体"/>
          <w:color w:val="000000"/>
          <w:kern w:val="2"/>
          <w:sz w:val="24"/>
          <w:szCs w:val="24"/>
          <w:lang w:val="en-US" w:eastAsia="zh-CN" w:bidi="ar"/>
        </w:rPr>
        <w:t>投标文件的组成</w:t>
      </w:r>
    </w:p>
    <w:p w14:paraId="06C57137">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w:t>
      </w:r>
      <w:r>
        <w:rPr>
          <w:rFonts w:hint="default" w:ascii="Times New Roman" w:hAnsi="Times New Roman" w:eastAsia="宋体" w:cs="Times New Roman"/>
          <w:color w:val="000000"/>
          <w:kern w:val="2"/>
          <w:sz w:val="24"/>
          <w:szCs w:val="24"/>
          <w:lang w:val="en-US" w:eastAsia="zh-CN" w:bidi="ar"/>
        </w:rPr>
        <w:t>1</w:t>
      </w:r>
      <w:r>
        <w:rPr>
          <w:rFonts w:hint="eastAsia" w:ascii="宋体" w:hAnsi="宋体" w:eastAsia="宋体" w:cs="宋体"/>
          <w:color w:val="000000"/>
          <w:kern w:val="2"/>
          <w:sz w:val="24"/>
          <w:szCs w:val="24"/>
          <w:lang w:val="en-US" w:eastAsia="zh-CN" w:bidi="ar"/>
        </w:rPr>
        <w:t>）投标文件应包含但不限于以下内容：</w:t>
      </w:r>
    </w:p>
    <w:p w14:paraId="4003EBDE">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①按规定填写的投标承诺函、投标一览表、详细报价表；</w:t>
      </w:r>
    </w:p>
    <w:p w14:paraId="574EE876">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②按要求出具的资格证明文件，证明投标人是合格的，而且中标后有能力履行合同；</w:t>
      </w:r>
    </w:p>
    <w:p w14:paraId="567CAFBA">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③按规定出具的证明文件，证明投标人提供的货物是合格的，而且符合投标文件的规定；</w:t>
      </w:r>
    </w:p>
    <w:p w14:paraId="61E8D985">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④对本招标文件第三部分（用户需求书）作出的书面响应，包括但不限于技术及商务要求等；</w:t>
      </w:r>
    </w:p>
    <w:p w14:paraId="1AB94BC3">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⑤投标人应按本招标文件的要求提交资格文件，并对这些资格文件的真实性负责。</w:t>
      </w:r>
    </w:p>
    <w:p w14:paraId="12BFE295">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 xml:space="preserve"> (2)</w:t>
      </w:r>
      <w:r>
        <w:rPr>
          <w:rFonts w:hint="eastAsia" w:ascii="宋体" w:hAnsi="宋体" w:eastAsia="宋体" w:cs="宋体"/>
          <w:color w:val="000000"/>
          <w:kern w:val="2"/>
          <w:sz w:val="24"/>
          <w:szCs w:val="24"/>
          <w:lang w:val="en-US" w:eastAsia="zh-CN" w:bidi="ar"/>
        </w:rPr>
        <w:t>投标人参照本招标文件的要求编制带有目录和页码并装订成册的投标文件。</w:t>
      </w:r>
    </w:p>
    <w:p w14:paraId="3A224CDC">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w:t>
      </w:r>
      <w:r>
        <w:rPr>
          <w:rFonts w:hint="default" w:ascii="Times New Roman" w:hAnsi="Times New Roman" w:eastAsia="宋体" w:cs="Times New Roman"/>
          <w:color w:val="000000"/>
          <w:kern w:val="2"/>
          <w:sz w:val="24"/>
          <w:szCs w:val="24"/>
          <w:lang w:val="en-US" w:eastAsia="zh-CN" w:bidi="ar"/>
        </w:rPr>
        <w:t>3</w:t>
      </w:r>
      <w:r>
        <w:rPr>
          <w:rFonts w:hint="eastAsia" w:ascii="宋体" w:hAnsi="宋体" w:eastAsia="宋体" w:cs="宋体"/>
          <w:color w:val="000000"/>
          <w:kern w:val="2"/>
          <w:sz w:val="24"/>
          <w:szCs w:val="24"/>
          <w:lang w:val="en-US" w:eastAsia="zh-CN" w:bidi="ar"/>
        </w:rPr>
        <w:t>）投标人必须自行承担因其投标文件的任何错漏而导致的一切后果。</w:t>
      </w:r>
    </w:p>
    <w:p w14:paraId="52460BF9">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3.</w:t>
      </w:r>
      <w:r>
        <w:rPr>
          <w:rFonts w:hint="eastAsia" w:ascii="宋体" w:hAnsi="宋体" w:eastAsia="宋体" w:cs="宋体"/>
          <w:color w:val="000000"/>
          <w:kern w:val="2"/>
          <w:sz w:val="24"/>
          <w:szCs w:val="24"/>
          <w:lang w:val="en-US" w:eastAsia="zh-CN" w:bidi="ar"/>
        </w:rPr>
        <w:t>投标文件的递交</w:t>
      </w:r>
    </w:p>
    <w:p w14:paraId="3265A219">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w:t>
      </w:r>
      <w:r>
        <w:rPr>
          <w:rFonts w:hint="default" w:ascii="Times New Roman" w:hAnsi="Times New Roman" w:eastAsia="宋体" w:cs="Times New Roman"/>
          <w:color w:val="000000"/>
          <w:kern w:val="2"/>
          <w:sz w:val="24"/>
          <w:szCs w:val="24"/>
          <w:lang w:val="en-US" w:eastAsia="zh-CN" w:bidi="ar"/>
        </w:rPr>
        <w:t>1</w:t>
      </w:r>
      <w:r>
        <w:rPr>
          <w:rFonts w:hint="eastAsia" w:ascii="宋体" w:hAnsi="宋体" w:eastAsia="宋体" w:cs="宋体"/>
          <w:color w:val="000000"/>
          <w:kern w:val="2"/>
          <w:sz w:val="24"/>
          <w:szCs w:val="24"/>
          <w:lang w:val="en-US" w:eastAsia="zh-CN" w:bidi="ar"/>
        </w:rPr>
        <w:t>）投标人投标时提交的全部材料都必须密封，具体包括：</w:t>
      </w:r>
    </w:p>
    <w:p w14:paraId="5EF50E33">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b/>
          <w:bCs/>
          <w:color w:val="000000"/>
          <w:kern w:val="2"/>
          <w:sz w:val="24"/>
          <w:szCs w:val="24"/>
        </w:rPr>
      </w:pPr>
      <w:r>
        <w:rPr>
          <w:rFonts w:hint="default" w:ascii="Times New Roman" w:hAnsi="Times New Roman" w:eastAsia="宋体" w:cs="Times New Roman"/>
          <w:color w:val="000000"/>
          <w:kern w:val="2"/>
          <w:sz w:val="24"/>
          <w:szCs w:val="24"/>
          <w:lang w:val="en-US" w:eastAsia="zh-CN" w:bidi="ar"/>
        </w:rPr>
        <w:t>a</w:t>
      </w:r>
      <w:r>
        <w:rPr>
          <w:rFonts w:hint="eastAsia" w:ascii="宋体" w:hAnsi="宋体" w:eastAsia="宋体" w:cs="宋体"/>
          <w:color w:val="000000"/>
          <w:kern w:val="2"/>
          <w:sz w:val="24"/>
          <w:szCs w:val="24"/>
          <w:lang w:val="en-US" w:eastAsia="zh-CN" w:bidi="ar"/>
        </w:rPr>
        <w:t>．投标文件纸质版一式</w:t>
      </w:r>
      <w:r>
        <w:rPr>
          <w:rFonts w:hint="default" w:ascii="Times New Roman" w:hAnsi="Times New Roman" w:eastAsia="宋体" w:cs="Times New Roman"/>
          <w:color w:val="000000"/>
          <w:kern w:val="2"/>
          <w:sz w:val="24"/>
          <w:szCs w:val="24"/>
          <w:lang w:val="en-US" w:eastAsia="zh-CN" w:bidi="ar"/>
        </w:rPr>
        <w:t>3</w:t>
      </w:r>
      <w:r>
        <w:rPr>
          <w:rFonts w:hint="eastAsia" w:ascii="宋体" w:hAnsi="宋体" w:eastAsia="宋体" w:cs="宋体"/>
          <w:color w:val="000000"/>
          <w:kern w:val="2"/>
          <w:sz w:val="24"/>
          <w:szCs w:val="24"/>
          <w:lang w:val="en-US" w:eastAsia="zh-CN" w:bidi="ar"/>
        </w:rPr>
        <w:t>份（正本</w:t>
      </w:r>
      <w:r>
        <w:rPr>
          <w:rFonts w:hint="default" w:ascii="Times New Roman" w:hAnsi="Times New Roman" w:eastAsia="宋体" w:cs="Times New Roman"/>
          <w:color w:val="000000"/>
          <w:kern w:val="2"/>
          <w:sz w:val="24"/>
          <w:szCs w:val="24"/>
          <w:lang w:val="en-US" w:eastAsia="zh-CN" w:bidi="ar"/>
        </w:rPr>
        <w:t>1</w:t>
      </w:r>
      <w:r>
        <w:rPr>
          <w:rFonts w:hint="eastAsia" w:ascii="宋体" w:hAnsi="宋体" w:eastAsia="宋体" w:cs="宋体"/>
          <w:color w:val="000000"/>
          <w:kern w:val="2"/>
          <w:sz w:val="24"/>
          <w:szCs w:val="24"/>
          <w:lang w:val="en-US" w:eastAsia="zh-CN" w:bidi="ar"/>
        </w:rPr>
        <w:t>份，副本</w:t>
      </w:r>
      <w:r>
        <w:rPr>
          <w:rFonts w:hint="default" w:ascii="Times New Roman" w:hAnsi="Times New Roman" w:eastAsia="宋体" w:cs="Times New Roman"/>
          <w:color w:val="000000"/>
          <w:kern w:val="2"/>
          <w:sz w:val="24"/>
          <w:szCs w:val="24"/>
          <w:lang w:val="en-US" w:eastAsia="zh-CN" w:bidi="ar"/>
        </w:rPr>
        <w:t>2</w:t>
      </w:r>
      <w:r>
        <w:rPr>
          <w:rFonts w:hint="eastAsia" w:ascii="宋体" w:hAnsi="宋体" w:eastAsia="宋体" w:cs="宋体"/>
          <w:color w:val="000000"/>
          <w:kern w:val="2"/>
          <w:sz w:val="24"/>
          <w:szCs w:val="24"/>
          <w:lang w:val="en-US" w:eastAsia="zh-CN" w:bidi="ar"/>
        </w:rPr>
        <w:t>份），每本投标文件装订成册，并注明</w:t>
      </w:r>
      <w:r>
        <w:rPr>
          <w:rFonts w:hint="default" w:ascii="Times New Roman" w:hAnsi="Times New Roman" w:eastAsia="宋体" w:cs="Times New Roman"/>
          <w:color w:val="000000"/>
          <w:kern w:val="2"/>
          <w:sz w:val="24"/>
          <w:szCs w:val="24"/>
          <w:lang w:val="en-US" w:eastAsia="zh-CN" w:bidi="ar"/>
        </w:rPr>
        <w:t>“</w:t>
      </w:r>
      <w:r>
        <w:rPr>
          <w:rFonts w:hint="eastAsia" w:ascii="宋体" w:hAnsi="宋体" w:eastAsia="宋体" w:cs="宋体"/>
          <w:color w:val="000000"/>
          <w:kern w:val="2"/>
          <w:sz w:val="24"/>
          <w:szCs w:val="24"/>
          <w:lang w:val="en-US" w:eastAsia="zh-CN" w:bidi="ar"/>
        </w:rPr>
        <w:t>正本</w:t>
      </w:r>
      <w:r>
        <w:rPr>
          <w:rFonts w:hint="default" w:ascii="Times New Roman" w:hAnsi="Times New Roman" w:eastAsia="宋体" w:cs="Times New Roman"/>
          <w:color w:val="000000"/>
          <w:kern w:val="2"/>
          <w:sz w:val="24"/>
          <w:szCs w:val="24"/>
          <w:lang w:val="en-US" w:eastAsia="zh-CN" w:bidi="ar"/>
        </w:rPr>
        <w:t>”</w:t>
      </w:r>
      <w:r>
        <w:rPr>
          <w:rFonts w:hint="eastAsia" w:ascii="宋体" w:hAnsi="宋体" w:eastAsia="宋体" w:cs="宋体"/>
          <w:color w:val="000000"/>
          <w:kern w:val="2"/>
          <w:sz w:val="24"/>
          <w:szCs w:val="24"/>
          <w:lang w:val="en-US" w:eastAsia="zh-CN" w:bidi="ar"/>
        </w:rPr>
        <w:t>和</w:t>
      </w:r>
      <w:r>
        <w:rPr>
          <w:rFonts w:hint="default" w:ascii="Times New Roman" w:hAnsi="Times New Roman" w:eastAsia="宋体" w:cs="Times New Roman"/>
          <w:color w:val="000000"/>
          <w:kern w:val="2"/>
          <w:sz w:val="24"/>
          <w:szCs w:val="24"/>
          <w:lang w:val="en-US" w:eastAsia="zh-CN" w:bidi="ar"/>
        </w:rPr>
        <w:t>“</w:t>
      </w:r>
      <w:r>
        <w:rPr>
          <w:rFonts w:hint="eastAsia" w:ascii="宋体" w:hAnsi="宋体" w:eastAsia="宋体" w:cs="宋体"/>
          <w:color w:val="000000"/>
          <w:kern w:val="2"/>
          <w:sz w:val="24"/>
          <w:szCs w:val="24"/>
          <w:lang w:val="en-US" w:eastAsia="zh-CN" w:bidi="ar"/>
        </w:rPr>
        <w:t>副本</w:t>
      </w:r>
      <w:r>
        <w:rPr>
          <w:rFonts w:hint="default" w:ascii="Times New Roman" w:hAnsi="Times New Roman" w:eastAsia="宋体" w:cs="Times New Roman"/>
          <w:color w:val="000000"/>
          <w:kern w:val="2"/>
          <w:sz w:val="24"/>
          <w:szCs w:val="24"/>
          <w:lang w:val="en-US" w:eastAsia="zh-CN" w:bidi="ar"/>
        </w:rPr>
        <w:t>”</w:t>
      </w:r>
      <w:r>
        <w:rPr>
          <w:rFonts w:hint="eastAsia" w:ascii="宋体" w:hAnsi="宋体" w:eastAsia="宋体" w:cs="宋体"/>
          <w:color w:val="000000"/>
          <w:kern w:val="2"/>
          <w:sz w:val="24"/>
          <w:szCs w:val="24"/>
          <w:lang w:val="en-US" w:eastAsia="zh-CN" w:bidi="ar"/>
        </w:rPr>
        <w:t>；投标文件除规定签名、盖章的地方外，其余部分应为印刷或打印体。如果正本与副本不符，应以正本为准。</w:t>
      </w:r>
      <w:r>
        <w:rPr>
          <w:rFonts w:hint="eastAsia" w:ascii="宋体" w:hAnsi="宋体" w:eastAsia="宋体" w:cs="宋体"/>
          <w:b/>
          <w:bCs/>
          <w:color w:val="000000"/>
          <w:kern w:val="2"/>
          <w:sz w:val="24"/>
          <w:szCs w:val="24"/>
          <w:lang w:val="en-US" w:eastAsia="zh-CN" w:bidi="ar"/>
        </w:rPr>
        <w:t>同时，需制作电子版投标文件</w:t>
      </w:r>
      <w:r>
        <w:rPr>
          <w:rFonts w:hint="default" w:ascii="Times New Roman" w:hAnsi="Times New Roman" w:eastAsia="宋体" w:cs="Times New Roman"/>
          <w:b/>
          <w:bCs/>
          <w:color w:val="000000"/>
          <w:kern w:val="2"/>
          <w:sz w:val="24"/>
          <w:szCs w:val="24"/>
          <w:lang w:val="en-US" w:eastAsia="zh-CN" w:bidi="ar"/>
        </w:rPr>
        <w:t>U</w:t>
      </w:r>
      <w:r>
        <w:rPr>
          <w:rFonts w:hint="eastAsia" w:ascii="宋体" w:hAnsi="宋体" w:eastAsia="宋体" w:cs="宋体"/>
          <w:b/>
          <w:bCs/>
          <w:color w:val="000000"/>
          <w:kern w:val="2"/>
          <w:sz w:val="24"/>
          <w:szCs w:val="24"/>
          <w:lang w:val="en-US" w:eastAsia="zh-CN" w:bidi="ar"/>
        </w:rPr>
        <w:t>盘</w:t>
      </w:r>
      <w:r>
        <w:rPr>
          <w:rFonts w:hint="default" w:ascii="Times New Roman" w:hAnsi="Times New Roman" w:eastAsia="宋体" w:cs="Times New Roman"/>
          <w:b/>
          <w:bCs/>
          <w:color w:val="000000"/>
          <w:kern w:val="2"/>
          <w:sz w:val="24"/>
          <w:szCs w:val="24"/>
          <w:lang w:val="en-US" w:eastAsia="zh-CN" w:bidi="ar"/>
        </w:rPr>
        <w:t>1</w:t>
      </w:r>
      <w:r>
        <w:rPr>
          <w:rFonts w:hint="eastAsia" w:ascii="宋体" w:hAnsi="宋体" w:eastAsia="宋体" w:cs="宋体"/>
          <w:b/>
          <w:bCs/>
          <w:color w:val="000000"/>
          <w:kern w:val="2"/>
          <w:sz w:val="24"/>
          <w:szCs w:val="24"/>
          <w:lang w:val="en-US" w:eastAsia="zh-CN" w:bidi="ar"/>
        </w:rPr>
        <w:t>份（此</w:t>
      </w:r>
      <w:r>
        <w:rPr>
          <w:rFonts w:hint="default" w:ascii="Times New Roman" w:hAnsi="Times New Roman" w:eastAsia="宋体" w:cs="Times New Roman"/>
          <w:b/>
          <w:bCs/>
          <w:color w:val="000000"/>
          <w:kern w:val="2"/>
          <w:sz w:val="24"/>
          <w:szCs w:val="24"/>
          <w:lang w:val="en-US" w:eastAsia="zh-CN" w:bidi="ar"/>
        </w:rPr>
        <w:t>U</w:t>
      </w:r>
      <w:r>
        <w:rPr>
          <w:rFonts w:hint="eastAsia" w:ascii="宋体" w:hAnsi="宋体" w:eastAsia="宋体" w:cs="宋体"/>
          <w:b/>
          <w:bCs/>
          <w:color w:val="000000"/>
          <w:kern w:val="2"/>
          <w:sz w:val="24"/>
          <w:szCs w:val="24"/>
          <w:lang w:val="en-US" w:eastAsia="zh-CN" w:bidi="ar"/>
        </w:rPr>
        <w:t>盘不退回）。</w:t>
      </w:r>
    </w:p>
    <w:p w14:paraId="69F2CFA7">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default" w:ascii="Times New Roman" w:hAnsi="Times New Roman" w:eastAsia="宋体" w:cs="Times New Roman"/>
          <w:color w:val="000000"/>
          <w:kern w:val="2"/>
          <w:sz w:val="24"/>
          <w:szCs w:val="24"/>
          <w:lang w:val="en-US" w:eastAsia="zh-CN" w:bidi="ar"/>
        </w:rPr>
        <w:t>b</w:t>
      </w:r>
      <w:r>
        <w:rPr>
          <w:rFonts w:hint="eastAsia" w:ascii="宋体" w:hAnsi="宋体" w:eastAsia="宋体" w:cs="宋体"/>
          <w:color w:val="000000"/>
          <w:kern w:val="2"/>
          <w:sz w:val="24"/>
          <w:szCs w:val="24"/>
          <w:lang w:val="en-US" w:eastAsia="zh-CN" w:bidi="ar"/>
        </w:rPr>
        <w:t>．投标报价信封，内放投标报价一览表。</w:t>
      </w:r>
    </w:p>
    <w:p w14:paraId="3939B146">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w:t>
      </w:r>
      <w:r>
        <w:rPr>
          <w:rFonts w:hint="default" w:ascii="Times New Roman" w:hAnsi="Times New Roman" w:eastAsia="宋体" w:cs="Times New Roman"/>
          <w:color w:val="000000"/>
          <w:kern w:val="2"/>
          <w:sz w:val="24"/>
          <w:szCs w:val="24"/>
          <w:lang w:val="en-US" w:eastAsia="zh-CN" w:bidi="ar"/>
        </w:rPr>
        <w:t>2</w:t>
      </w:r>
      <w:r>
        <w:rPr>
          <w:rFonts w:hint="eastAsia" w:ascii="宋体" w:hAnsi="宋体" w:eastAsia="宋体" w:cs="宋体"/>
          <w:color w:val="000000"/>
          <w:kern w:val="2"/>
          <w:sz w:val="24"/>
          <w:szCs w:val="24"/>
          <w:lang w:val="en-US" w:eastAsia="zh-CN" w:bidi="ar"/>
        </w:rPr>
        <w:t>）投标人应对投标货物提供完整的详细的技术说明，如投标人对指定的技术要求建议做任何改动</w:t>
      </w:r>
      <w:r>
        <w:rPr>
          <w:rFonts w:hint="default" w:ascii="Times New Roman" w:hAnsi="Times New Roman" w:eastAsia="宋体" w:cs="Times New Roman"/>
          <w:color w:val="000000"/>
          <w:kern w:val="2"/>
          <w:sz w:val="24"/>
          <w:szCs w:val="24"/>
          <w:lang w:val="en-US" w:eastAsia="zh-CN" w:bidi="ar"/>
        </w:rPr>
        <w:t>,</w:t>
      </w:r>
      <w:r>
        <w:rPr>
          <w:rFonts w:hint="eastAsia" w:ascii="宋体" w:hAnsi="宋体" w:eastAsia="宋体" w:cs="宋体"/>
          <w:color w:val="000000"/>
          <w:kern w:val="2"/>
          <w:sz w:val="24"/>
          <w:szCs w:val="24"/>
          <w:lang w:val="en-US" w:eastAsia="zh-CN" w:bidi="ar"/>
        </w:rPr>
        <w:t>应在投标中清楚地注明。</w:t>
      </w:r>
    </w:p>
    <w:p w14:paraId="300DF3C3">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w:t>
      </w:r>
      <w:r>
        <w:rPr>
          <w:rFonts w:hint="default" w:ascii="Times New Roman" w:hAnsi="Times New Roman" w:eastAsia="宋体" w:cs="Times New Roman"/>
          <w:color w:val="000000"/>
          <w:kern w:val="2"/>
          <w:sz w:val="24"/>
          <w:szCs w:val="24"/>
          <w:lang w:val="en-US" w:eastAsia="zh-CN" w:bidi="ar"/>
        </w:rPr>
        <w:t>3</w:t>
      </w:r>
      <w:r>
        <w:rPr>
          <w:rFonts w:hint="eastAsia" w:ascii="宋体" w:hAnsi="宋体" w:eastAsia="宋体" w:cs="宋体"/>
          <w:color w:val="000000"/>
          <w:kern w:val="2"/>
          <w:sz w:val="24"/>
          <w:szCs w:val="24"/>
          <w:lang w:val="en-US" w:eastAsia="zh-CN" w:bidi="ar"/>
        </w:rPr>
        <w:t>）不接受以邮寄、电报、电话、传真方式的投标。</w:t>
      </w:r>
    </w:p>
    <w:p w14:paraId="60ECF4AA">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w:t>
      </w:r>
      <w:r>
        <w:rPr>
          <w:rFonts w:hint="default" w:ascii="Times New Roman" w:hAnsi="Times New Roman" w:eastAsia="宋体" w:cs="Times New Roman"/>
          <w:color w:val="000000"/>
          <w:kern w:val="2"/>
          <w:sz w:val="24"/>
          <w:szCs w:val="24"/>
          <w:lang w:val="en-US" w:eastAsia="zh-CN" w:bidi="ar"/>
        </w:rPr>
        <w:t>4</w:t>
      </w:r>
      <w:r>
        <w:rPr>
          <w:rFonts w:hint="eastAsia" w:ascii="宋体" w:hAnsi="宋体" w:eastAsia="宋体" w:cs="宋体"/>
          <w:color w:val="000000"/>
          <w:kern w:val="2"/>
          <w:sz w:val="24"/>
          <w:szCs w:val="24"/>
          <w:lang w:val="en-US" w:eastAsia="zh-CN" w:bidi="ar"/>
        </w:rPr>
        <w:t>）采购人将拒绝以下情况递交的投标文件：</w:t>
      </w:r>
    </w:p>
    <w:p w14:paraId="4198499F">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①未按要求密封投标文件的；</w:t>
      </w:r>
      <w:r>
        <w:rPr>
          <w:rFonts w:hint="default" w:ascii="Times New Roman" w:hAnsi="Times New Roman" w:eastAsia="宋体" w:cs="Times New Roman"/>
          <w:color w:val="000000"/>
          <w:kern w:val="2"/>
          <w:sz w:val="24"/>
          <w:szCs w:val="24"/>
          <w:lang w:val="en-US" w:eastAsia="zh-CN" w:bidi="ar"/>
        </w:rPr>
        <w:tab/>
      </w:r>
    </w:p>
    <w:p w14:paraId="712AE8D3">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②投标文件迟于截止时间递交的。</w:t>
      </w:r>
    </w:p>
    <w:p w14:paraId="78ECED01">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w:t>
      </w:r>
      <w:r>
        <w:rPr>
          <w:rFonts w:hint="default" w:ascii="Times New Roman" w:hAnsi="Times New Roman" w:eastAsia="宋体" w:cs="Times New Roman"/>
          <w:color w:val="000000"/>
          <w:kern w:val="2"/>
          <w:sz w:val="24"/>
          <w:szCs w:val="24"/>
          <w:lang w:val="en-US" w:eastAsia="zh-CN" w:bidi="ar"/>
        </w:rPr>
        <w:t>5</w:t>
      </w:r>
      <w:r>
        <w:rPr>
          <w:rFonts w:hint="eastAsia" w:ascii="宋体" w:hAnsi="宋体" w:eastAsia="宋体" w:cs="宋体"/>
          <w:color w:val="000000"/>
          <w:kern w:val="2"/>
          <w:sz w:val="24"/>
          <w:szCs w:val="24"/>
          <w:lang w:val="en-US" w:eastAsia="zh-CN" w:bidi="ar"/>
        </w:rPr>
        <w:t>）投标文件的任何涂改或修正，必须由投标人授权代表签字确认。</w:t>
      </w:r>
    </w:p>
    <w:p w14:paraId="75B064CC">
      <w:pPr>
        <w:keepNext w:val="0"/>
        <w:keepLines w:val="0"/>
        <w:widowControl w:val="0"/>
        <w:suppressLineNumbers w:val="0"/>
        <w:spacing w:before="0" w:beforeAutospacing="0" w:after="0" w:afterAutospacing="0" w:line="360" w:lineRule="auto"/>
        <w:ind w:left="420" w:leftChars="0" w:right="0"/>
        <w:jc w:val="left"/>
        <w:rPr>
          <w:rFonts w:hint="default" w:ascii="Times New Roman" w:hAnsi="Times New Roman" w:eastAsia="宋体" w:cs="Times New Roman"/>
          <w:color w:val="000000"/>
          <w:kern w:val="2"/>
          <w:sz w:val="24"/>
          <w:szCs w:val="24"/>
        </w:rPr>
      </w:pPr>
      <w:r>
        <w:rPr>
          <w:rFonts w:hint="eastAsia" w:ascii="宋体" w:hAnsi="宋体" w:eastAsia="宋体" w:cs="宋体"/>
          <w:color w:val="000000"/>
          <w:kern w:val="2"/>
          <w:sz w:val="24"/>
          <w:szCs w:val="24"/>
          <w:lang w:val="en-US" w:eastAsia="zh-CN" w:bidi="ar"/>
        </w:rPr>
        <w:t>（</w:t>
      </w:r>
      <w:r>
        <w:rPr>
          <w:rFonts w:hint="default" w:ascii="Times New Roman" w:hAnsi="Times New Roman" w:eastAsia="宋体" w:cs="Times New Roman"/>
          <w:color w:val="000000"/>
          <w:kern w:val="2"/>
          <w:sz w:val="24"/>
          <w:szCs w:val="24"/>
          <w:lang w:val="en-US" w:eastAsia="zh-CN" w:bidi="ar"/>
        </w:rPr>
        <w:t>6</w:t>
      </w:r>
      <w:r>
        <w:rPr>
          <w:rFonts w:hint="eastAsia" w:ascii="宋体" w:hAnsi="宋体" w:eastAsia="宋体" w:cs="宋体"/>
          <w:color w:val="000000"/>
          <w:kern w:val="2"/>
          <w:sz w:val="24"/>
          <w:szCs w:val="24"/>
          <w:lang w:val="en-US" w:eastAsia="zh-CN" w:bidi="ar"/>
        </w:rPr>
        <w:t>）采购人对不可抗力事件造成的投标文件的损坏、丢失不承担任何责任。</w:t>
      </w:r>
    </w:p>
    <w:p w14:paraId="28646BAA">
      <w:pPr>
        <w:keepNext w:val="0"/>
        <w:keepLines w:val="0"/>
        <w:widowControl w:val="0"/>
        <w:suppressLineNumbers w:val="0"/>
        <w:spacing w:before="0" w:beforeAutospacing="0" w:after="0" w:afterAutospacing="0" w:line="360" w:lineRule="auto"/>
        <w:ind w:left="420" w:leftChars="0" w:right="0"/>
        <w:jc w:val="center"/>
        <w:rPr>
          <w:rFonts w:hint="eastAsia" w:ascii="宋体" w:hAnsi="宋体" w:eastAsia="宋体" w:cs="宋体"/>
          <w:b/>
          <w:bCs w:val="0"/>
          <w:color w:val="000000"/>
          <w:kern w:val="2"/>
          <w:sz w:val="28"/>
          <w:szCs w:val="28"/>
        </w:rPr>
      </w:pPr>
      <w:r>
        <w:rPr>
          <w:rFonts w:hint="default" w:ascii="Times New Roman" w:hAnsi="Times New Roman" w:eastAsia="宋体" w:cs="Times New Roman"/>
          <w:color w:val="000000"/>
          <w:kern w:val="2"/>
          <w:sz w:val="24"/>
          <w:szCs w:val="24"/>
          <w:lang w:val="en-US" w:eastAsia="zh-CN" w:bidi="ar"/>
        </w:rPr>
        <w:br w:type="page"/>
      </w:r>
      <w:r>
        <w:rPr>
          <w:rFonts w:hint="eastAsia" w:ascii="宋体" w:hAnsi="宋体" w:eastAsia="宋体" w:cs="宋体"/>
          <w:b/>
          <w:bCs w:val="0"/>
          <w:color w:val="000000"/>
          <w:kern w:val="2"/>
          <w:sz w:val="28"/>
          <w:szCs w:val="28"/>
          <w:lang w:val="en-US" w:eastAsia="zh-CN" w:bidi="ar"/>
        </w:rPr>
        <w:t>第三部分    用户需求书</w:t>
      </w:r>
    </w:p>
    <w:p w14:paraId="763AD78E">
      <w:pPr>
        <w:spacing w:line="360" w:lineRule="auto"/>
        <w:jc w:val="left"/>
        <w:rPr>
          <w:rFonts w:ascii="宋体" w:hAnsi="宋体" w:cs="Calibri"/>
          <w:sz w:val="28"/>
          <w:szCs w:val="28"/>
        </w:rPr>
      </w:pPr>
      <w:r>
        <w:rPr>
          <w:rFonts w:hint="eastAsia" w:ascii="宋体" w:hAnsi="宋体" w:cs="Calibri"/>
          <w:b/>
          <w:sz w:val="28"/>
          <w:szCs w:val="28"/>
        </w:rPr>
        <w:t>一、项目基本情况</w:t>
      </w:r>
    </w:p>
    <w:p w14:paraId="04E8F60F">
      <w:pPr>
        <w:spacing w:line="360" w:lineRule="auto"/>
        <w:ind w:left="480"/>
        <w:jc w:val="left"/>
        <w:rPr>
          <w:rFonts w:hint="eastAsia" w:ascii="宋体" w:hAnsi="宋体" w:cs="Calibri"/>
          <w:sz w:val="28"/>
          <w:szCs w:val="28"/>
          <w:u w:val="single"/>
        </w:rPr>
      </w:pPr>
      <w:r>
        <w:rPr>
          <w:rFonts w:hint="eastAsia" w:ascii="宋体" w:hAnsi="宋体" w:cs="宋体"/>
          <w:bCs/>
          <w:sz w:val="24"/>
          <w:szCs w:val="24"/>
        </w:rPr>
        <w:t>1、项目编号</w:t>
      </w:r>
      <w:r>
        <w:rPr>
          <w:rFonts w:hint="eastAsia" w:ascii="宋体" w:hAnsi="宋体" w:cs="宋体"/>
          <w:sz w:val="24"/>
          <w:szCs w:val="24"/>
        </w:rPr>
        <w:t>：</w:t>
      </w:r>
    </w:p>
    <w:p w14:paraId="6FBEE32C">
      <w:pPr>
        <w:spacing w:line="360" w:lineRule="auto"/>
        <w:ind w:left="480"/>
        <w:rPr>
          <w:rFonts w:hint="default" w:ascii="宋体" w:hAnsi="宋体" w:cs="宋体" w:eastAsiaTheme="minorEastAsia"/>
          <w:bCs/>
          <w:sz w:val="24"/>
          <w:szCs w:val="24"/>
          <w:lang w:val="en-US" w:eastAsia="zh-CN"/>
        </w:rPr>
      </w:pPr>
      <w:r>
        <w:rPr>
          <w:rFonts w:hint="eastAsia" w:ascii="宋体" w:hAnsi="宋体" w:cs="宋体"/>
          <w:bCs/>
          <w:sz w:val="24"/>
          <w:szCs w:val="24"/>
        </w:rPr>
        <w:t>2、项目名称：广州美术学院</w:t>
      </w:r>
      <w:r>
        <w:rPr>
          <w:rFonts w:hint="eastAsia" w:ascii="宋体" w:hAnsi="宋体" w:cs="宋体"/>
          <w:bCs/>
          <w:sz w:val="24"/>
          <w:szCs w:val="24"/>
          <w:lang w:val="en-US" w:eastAsia="zh-CN"/>
        </w:rPr>
        <w:t>综合</w:t>
      </w:r>
      <w:r>
        <w:rPr>
          <w:rFonts w:hint="eastAsia" w:ascii="宋体" w:hAnsi="宋体" w:cs="宋体"/>
          <w:bCs/>
          <w:sz w:val="24"/>
          <w:szCs w:val="24"/>
        </w:rPr>
        <w:t>档案室气体灭火</w:t>
      </w:r>
      <w:r>
        <w:rPr>
          <w:rFonts w:hint="eastAsia" w:ascii="宋体" w:hAnsi="宋体" w:cs="宋体"/>
          <w:bCs/>
          <w:sz w:val="24"/>
          <w:szCs w:val="24"/>
          <w:lang w:val="en-US" w:eastAsia="zh-CN"/>
        </w:rPr>
        <w:t>消防</w:t>
      </w:r>
      <w:r>
        <w:rPr>
          <w:rFonts w:hint="eastAsia" w:ascii="宋体" w:hAnsi="宋体" w:cs="宋体"/>
          <w:bCs/>
          <w:sz w:val="24"/>
          <w:szCs w:val="24"/>
        </w:rPr>
        <w:t>系统</w:t>
      </w:r>
      <w:r>
        <w:rPr>
          <w:rFonts w:hint="eastAsia" w:ascii="宋体" w:hAnsi="宋体" w:cs="宋体"/>
          <w:bCs/>
          <w:sz w:val="24"/>
          <w:szCs w:val="24"/>
          <w:lang w:val="en-US" w:eastAsia="zh-CN"/>
        </w:rPr>
        <w:t>建设</w:t>
      </w:r>
      <w:r>
        <w:rPr>
          <w:rFonts w:hint="eastAsia" w:ascii="宋体" w:hAnsi="宋体" w:cs="宋体"/>
          <w:bCs/>
          <w:sz w:val="24"/>
          <w:szCs w:val="24"/>
        </w:rPr>
        <w:t>项目</w:t>
      </w:r>
      <w:r>
        <w:rPr>
          <w:rFonts w:hint="eastAsia" w:ascii="宋体" w:hAnsi="宋体" w:cs="宋体"/>
          <w:bCs/>
          <w:sz w:val="24"/>
          <w:szCs w:val="24"/>
          <w:lang w:eastAsia="zh-CN"/>
        </w:rPr>
        <w:t>（</w:t>
      </w:r>
      <w:r>
        <w:rPr>
          <w:rFonts w:hint="eastAsia" w:ascii="宋体" w:hAnsi="宋体" w:cs="宋体"/>
          <w:bCs/>
          <w:sz w:val="24"/>
          <w:szCs w:val="24"/>
          <w:lang w:val="en-US" w:eastAsia="zh-CN"/>
        </w:rPr>
        <w:t>三次）</w:t>
      </w:r>
    </w:p>
    <w:p w14:paraId="4FFBD34A">
      <w:pPr>
        <w:spacing w:line="360" w:lineRule="auto"/>
        <w:ind w:left="480"/>
        <w:rPr>
          <w:rFonts w:hint="eastAsia" w:ascii="宋体" w:hAnsi="宋体" w:cs="宋体"/>
          <w:bCs/>
          <w:sz w:val="24"/>
          <w:szCs w:val="24"/>
        </w:rPr>
      </w:pPr>
      <w:r>
        <w:rPr>
          <w:rFonts w:hint="eastAsia" w:ascii="宋体" w:hAnsi="宋体" w:cs="宋体"/>
          <w:bCs/>
          <w:sz w:val="24"/>
          <w:szCs w:val="24"/>
        </w:rPr>
        <w:t>3、预算金额：</w:t>
      </w:r>
      <w:r>
        <w:rPr>
          <w:rFonts w:hint="eastAsia" w:ascii="宋体" w:hAnsi="宋体" w:cs="Tahoma"/>
          <w:sz w:val="24"/>
          <w:szCs w:val="24"/>
        </w:rPr>
        <w:t>人民币</w:t>
      </w:r>
      <w:r>
        <w:rPr>
          <w:rFonts w:hint="eastAsia" w:ascii="宋体" w:hAnsi="宋体" w:cs="宋体"/>
          <w:sz w:val="24"/>
          <w:szCs w:val="24"/>
          <w:u w:val="single"/>
        </w:rPr>
        <w:t>132367.72</w:t>
      </w:r>
      <w:r>
        <w:rPr>
          <w:rFonts w:hint="eastAsia" w:ascii="宋体" w:hAnsi="宋体" w:cs="宋体"/>
          <w:sz w:val="24"/>
          <w:szCs w:val="24"/>
        </w:rPr>
        <w:t>元</w:t>
      </w:r>
    </w:p>
    <w:p w14:paraId="38261507">
      <w:pPr>
        <w:spacing w:line="360" w:lineRule="auto"/>
        <w:ind w:left="480"/>
        <w:rPr>
          <w:rFonts w:hint="eastAsia" w:ascii="宋体" w:hAnsi="宋体" w:cs="宋体"/>
          <w:bCs/>
          <w:sz w:val="24"/>
          <w:szCs w:val="24"/>
        </w:rPr>
      </w:pPr>
      <w:r>
        <w:rPr>
          <w:rFonts w:hint="eastAsia" w:ascii="宋体" w:hAnsi="宋体" w:cs="宋体"/>
          <w:bCs/>
          <w:sz w:val="24"/>
          <w:szCs w:val="24"/>
        </w:rPr>
        <w:t>4、最高限价（如有）：</w:t>
      </w:r>
      <w:r>
        <w:rPr>
          <w:rFonts w:hint="eastAsia" w:ascii="宋体" w:hAnsi="宋体" w:cs="Tahoma"/>
          <w:sz w:val="24"/>
          <w:szCs w:val="24"/>
        </w:rPr>
        <w:t>人民币</w:t>
      </w:r>
      <w:r>
        <w:rPr>
          <w:rFonts w:hint="eastAsia" w:ascii="宋体" w:hAnsi="宋体" w:cs="宋体"/>
          <w:sz w:val="24"/>
          <w:szCs w:val="24"/>
          <w:u w:val="single"/>
        </w:rPr>
        <w:t>132367.72</w:t>
      </w:r>
      <w:r>
        <w:rPr>
          <w:rFonts w:hint="eastAsia" w:ascii="宋体" w:hAnsi="宋体" w:cs="宋体"/>
          <w:sz w:val="24"/>
          <w:szCs w:val="24"/>
        </w:rPr>
        <w:t>元</w:t>
      </w:r>
    </w:p>
    <w:p w14:paraId="1952D893">
      <w:pPr>
        <w:spacing w:line="360" w:lineRule="auto"/>
        <w:ind w:firstLine="480" w:firstLineChars="200"/>
        <w:rPr>
          <w:rFonts w:hint="eastAsia" w:ascii="宋体" w:hAnsi="宋体" w:cs="宋体"/>
          <w:sz w:val="24"/>
          <w:szCs w:val="24"/>
        </w:rPr>
      </w:pPr>
      <w:r>
        <w:rPr>
          <w:rFonts w:hint="eastAsia" w:ascii="宋体" w:hAnsi="宋体" w:cs="宋体"/>
          <w:bCs/>
          <w:sz w:val="24"/>
          <w:szCs w:val="24"/>
        </w:rPr>
        <w:t>5、采购需求：</w:t>
      </w:r>
    </w:p>
    <w:p w14:paraId="25B3A88A">
      <w:pPr>
        <w:spacing w:line="360" w:lineRule="auto"/>
        <w:ind w:firstLine="240" w:firstLineChars="100"/>
        <w:rPr>
          <w:rFonts w:hint="eastAsia" w:ascii="宋体" w:hAnsi="宋体" w:cs="宋体"/>
          <w:sz w:val="24"/>
          <w:szCs w:val="24"/>
        </w:rPr>
      </w:pPr>
      <w:r>
        <w:rPr>
          <w:rFonts w:hint="eastAsia" w:ascii="宋体" w:hAnsi="宋体" w:cs="宋体"/>
          <w:sz w:val="24"/>
          <w:szCs w:val="24"/>
        </w:rPr>
        <w:t>（1）标的名称：</w:t>
      </w:r>
      <w:r>
        <w:rPr>
          <w:rFonts w:hint="eastAsia" w:ascii="宋体" w:hAnsi="宋体" w:cs="宋体"/>
          <w:bCs/>
          <w:sz w:val="24"/>
          <w:szCs w:val="24"/>
        </w:rPr>
        <w:t>消防系统更新改造</w:t>
      </w:r>
    </w:p>
    <w:p w14:paraId="51BDF797">
      <w:pPr>
        <w:spacing w:line="360" w:lineRule="auto"/>
        <w:ind w:firstLine="240" w:firstLineChars="100"/>
        <w:rPr>
          <w:rFonts w:hint="eastAsia" w:ascii="宋体" w:hAnsi="宋体" w:cs="宋体"/>
          <w:sz w:val="24"/>
          <w:szCs w:val="24"/>
        </w:rPr>
      </w:pPr>
      <w:r>
        <w:rPr>
          <w:rFonts w:hint="eastAsia" w:ascii="宋体" w:hAnsi="宋体" w:cs="宋体"/>
          <w:sz w:val="24"/>
          <w:szCs w:val="24"/>
        </w:rPr>
        <w:t xml:space="preserve">（2）标的数量：1项 </w:t>
      </w:r>
    </w:p>
    <w:p w14:paraId="113D534C">
      <w:pPr>
        <w:spacing w:line="360" w:lineRule="auto"/>
        <w:ind w:firstLine="240" w:firstLineChars="100"/>
        <w:rPr>
          <w:rFonts w:hint="eastAsia" w:ascii="宋体" w:hAnsi="宋体" w:cs="宋体"/>
          <w:sz w:val="24"/>
          <w:szCs w:val="24"/>
        </w:rPr>
      </w:pPr>
      <w:r>
        <w:rPr>
          <w:rFonts w:hint="eastAsia" w:ascii="宋体" w:hAnsi="宋体" w:cs="宋体"/>
          <w:sz w:val="24"/>
          <w:szCs w:val="24"/>
        </w:rPr>
        <w:t>（3）简要技术需求或服务要求：</w:t>
      </w:r>
    </w:p>
    <w:tbl>
      <w:tblPr>
        <w:tblStyle w:val="1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 w:type="dxa"/>
          <w:bottom w:w="0" w:type="dxa"/>
          <w:right w:w="10" w:type="dxa"/>
        </w:tblCellMar>
      </w:tblPr>
      <w:tblGrid>
        <w:gridCol w:w="3913"/>
        <w:gridCol w:w="1276"/>
        <w:gridCol w:w="3456"/>
      </w:tblGrid>
      <w:tr w14:paraId="486E4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603" w:hRule="atLeast"/>
          <w:jc w:val="center"/>
        </w:trPr>
        <w:tc>
          <w:tcPr>
            <w:tcW w:w="3913" w:type="dxa"/>
            <w:tcBorders>
              <w:top w:val="single" w:color="auto" w:sz="6" w:space="0"/>
              <w:left w:val="single" w:color="auto" w:sz="6" w:space="0"/>
              <w:bottom w:val="single" w:color="auto" w:sz="6" w:space="0"/>
              <w:right w:val="single" w:color="auto" w:sz="6" w:space="0"/>
            </w:tcBorders>
            <w:noWrap w:val="0"/>
            <w:vAlign w:val="center"/>
          </w:tcPr>
          <w:p w14:paraId="7B18F1D5">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sz w:val="24"/>
                <w:szCs w:val="24"/>
              </w:rPr>
            </w:pPr>
            <w:r>
              <w:rPr>
                <w:rFonts w:hint="eastAsia" w:ascii="宋体" w:hAnsi="宋体" w:cs="宋体"/>
                <w:sz w:val="24"/>
                <w:szCs w:val="24"/>
              </w:rPr>
              <w:t>采购内容</w:t>
            </w:r>
          </w:p>
        </w:tc>
        <w:tc>
          <w:tcPr>
            <w:tcW w:w="1276" w:type="dxa"/>
            <w:tcBorders>
              <w:top w:val="single" w:color="auto" w:sz="6" w:space="0"/>
              <w:left w:val="single" w:color="auto" w:sz="6" w:space="0"/>
              <w:bottom w:val="single" w:color="auto" w:sz="6" w:space="0"/>
              <w:right w:val="single" w:color="auto" w:sz="6" w:space="0"/>
            </w:tcBorders>
            <w:noWrap w:val="0"/>
            <w:vAlign w:val="center"/>
          </w:tcPr>
          <w:p w14:paraId="399EE484">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sz w:val="24"/>
                <w:szCs w:val="24"/>
              </w:rPr>
            </w:pPr>
            <w:r>
              <w:rPr>
                <w:rFonts w:hint="eastAsia" w:ascii="宋体" w:hAnsi="宋体" w:cs="宋体"/>
                <w:sz w:val="24"/>
                <w:szCs w:val="24"/>
              </w:rPr>
              <w:t>数量</w:t>
            </w:r>
          </w:p>
        </w:tc>
        <w:tc>
          <w:tcPr>
            <w:tcW w:w="3456" w:type="dxa"/>
            <w:tcBorders>
              <w:top w:val="single" w:color="auto" w:sz="6" w:space="0"/>
              <w:left w:val="single" w:color="auto" w:sz="6" w:space="0"/>
              <w:bottom w:val="single" w:color="auto" w:sz="6" w:space="0"/>
              <w:right w:val="single" w:color="auto" w:sz="6" w:space="0"/>
            </w:tcBorders>
            <w:noWrap w:val="0"/>
            <w:vAlign w:val="center"/>
          </w:tcPr>
          <w:p w14:paraId="4236E18B">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sz w:val="24"/>
                <w:szCs w:val="24"/>
              </w:rPr>
            </w:pPr>
            <w:r>
              <w:rPr>
                <w:rFonts w:hint="eastAsia" w:ascii="宋体" w:hAnsi="宋体" w:cs="宋体"/>
                <w:sz w:val="24"/>
                <w:szCs w:val="24"/>
              </w:rPr>
              <w:t>采购预算</w:t>
            </w:r>
          </w:p>
        </w:tc>
      </w:tr>
      <w:tr w14:paraId="38E8B8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672" w:hRule="atLeast"/>
          <w:jc w:val="center"/>
        </w:trPr>
        <w:tc>
          <w:tcPr>
            <w:tcW w:w="3913" w:type="dxa"/>
            <w:tcBorders>
              <w:top w:val="single" w:color="auto" w:sz="6" w:space="0"/>
              <w:left w:val="single" w:color="auto" w:sz="6" w:space="0"/>
              <w:bottom w:val="single" w:color="auto" w:sz="4" w:space="0"/>
              <w:right w:val="single" w:color="auto" w:sz="6" w:space="0"/>
            </w:tcBorders>
            <w:noWrap w:val="0"/>
            <w:vAlign w:val="center"/>
          </w:tcPr>
          <w:p w14:paraId="697A35EC">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sz w:val="24"/>
                <w:szCs w:val="24"/>
              </w:rPr>
            </w:pPr>
            <w:r>
              <w:rPr>
                <w:rFonts w:hint="eastAsia" w:ascii="宋体" w:hAnsi="宋体" w:cs="宋体"/>
                <w:bCs/>
                <w:sz w:val="24"/>
                <w:szCs w:val="24"/>
              </w:rPr>
              <w:t>广州美术学院综合档案室气体灭火消防系统建设项目</w:t>
            </w:r>
          </w:p>
        </w:tc>
        <w:tc>
          <w:tcPr>
            <w:tcW w:w="1276" w:type="dxa"/>
            <w:tcBorders>
              <w:top w:val="single" w:color="auto" w:sz="6" w:space="0"/>
              <w:left w:val="single" w:color="auto" w:sz="6" w:space="0"/>
              <w:bottom w:val="single" w:color="auto" w:sz="4" w:space="0"/>
              <w:right w:val="single" w:color="auto" w:sz="6" w:space="0"/>
            </w:tcBorders>
            <w:noWrap w:val="0"/>
            <w:vAlign w:val="center"/>
          </w:tcPr>
          <w:p w14:paraId="5043D32A">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sz w:val="24"/>
                <w:szCs w:val="24"/>
              </w:rPr>
            </w:pPr>
            <w:r>
              <w:rPr>
                <w:rFonts w:hint="eastAsia" w:ascii="宋体" w:hAnsi="宋体" w:cs="宋体"/>
                <w:sz w:val="24"/>
                <w:szCs w:val="24"/>
              </w:rPr>
              <w:t>1</w:t>
            </w:r>
          </w:p>
        </w:tc>
        <w:tc>
          <w:tcPr>
            <w:tcW w:w="3456" w:type="dxa"/>
            <w:tcBorders>
              <w:top w:val="single" w:color="auto" w:sz="6" w:space="0"/>
              <w:left w:val="single" w:color="auto" w:sz="6" w:space="0"/>
              <w:bottom w:val="single" w:color="auto" w:sz="4" w:space="0"/>
              <w:right w:val="single" w:color="auto" w:sz="6" w:space="0"/>
            </w:tcBorders>
            <w:noWrap w:val="0"/>
            <w:vAlign w:val="center"/>
          </w:tcPr>
          <w:p w14:paraId="63A69930">
            <w:pPr>
              <w:keepNext w:val="0"/>
              <w:keepLines w:val="0"/>
              <w:suppressLineNumbers w:val="0"/>
              <w:spacing w:before="0" w:beforeAutospacing="0" w:after="0" w:afterAutospacing="0" w:line="360" w:lineRule="auto"/>
              <w:ind w:left="0" w:right="0"/>
              <w:jc w:val="center"/>
              <w:rPr>
                <w:rFonts w:hint="eastAsia" w:ascii="宋体" w:hAnsi="宋体" w:cs="宋体"/>
                <w:kern w:val="0"/>
                <w:sz w:val="24"/>
                <w:szCs w:val="24"/>
              </w:rPr>
            </w:pPr>
            <w:r>
              <w:rPr>
                <w:rFonts w:hint="eastAsia" w:ascii="宋体" w:hAnsi="宋体" w:cs="Tahoma"/>
                <w:sz w:val="24"/>
                <w:szCs w:val="24"/>
              </w:rPr>
              <w:t>人民币</w:t>
            </w:r>
            <w:r>
              <w:rPr>
                <w:rFonts w:hint="eastAsia" w:ascii="宋体" w:hAnsi="宋体" w:cs="宋体"/>
                <w:sz w:val="24"/>
                <w:szCs w:val="24"/>
                <w:u w:val="single"/>
              </w:rPr>
              <w:t>132367.72</w:t>
            </w:r>
            <w:r>
              <w:rPr>
                <w:rFonts w:hint="eastAsia" w:ascii="宋体" w:hAnsi="宋体" w:cs="宋体"/>
                <w:sz w:val="24"/>
                <w:szCs w:val="24"/>
              </w:rPr>
              <w:t>元</w:t>
            </w:r>
          </w:p>
        </w:tc>
      </w:tr>
    </w:tbl>
    <w:p w14:paraId="376BDA67">
      <w:pPr>
        <w:spacing w:line="360" w:lineRule="auto"/>
        <w:ind w:firstLine="720" w:firstLineChars="300"/>
        <w:rPr>
          <w:rFonts w:hint="eastAsia" w:ascii="宋体" w:hAnsi="宋体" w:cs="宋体"/>
          <w:bCs/>
          <w:sz w:val="24"/>
          <w:szCs w:val="24"/>
        </w:rPr>
      </w:pPr>
      <w:r>
        <w:rPr>
          <w:rFonts w:hint="eastAsia" w:ascii="宋体" w:hAnsi="宋体" w:cs="宋体"/>
          <w:bCs/>
          <w:sz w:val="24"/>
          <w:szCs w:val="24"/>
        </w:rPr>
        <w:t>1）详细要求请参阅招标文件中相关要求。</w:t>
      </w:r>
    </w:p>
    <w:p w14:paraId="687ACD7C">
      <w:pPr>
        <w:spacing w:line="360" w:lineRule="auto"/>
        <w:ind w:firstLine="720" w:firstLineChars="300"/>
        <w:rPr>
          <w:rFonts w:hint="eastAsia" w:ascii="宋体" w:hAnsi="宋体" w:cs="宋体"/>
          <w:bCs/>
          <w:sz w:val="24"/>
          <w:szCs w:val="24"/>
        </w:rPr>
      </w:pPr>
      <w:r>
        <w:rPr>
          <w:rFonts w:hint="eastAsia" w:ascii="宋体" w:hAnsi="宋体" w:cs="宋体"/>
          <w:bCs/>
          <w:sz w:val="24"/>
          <w:szCs w:val="24"/>
        </w:rPr>
        <w:t>2）本项目采购本国产品。</w:t>
      </w:r>
    </w:p>
    <w:p w14:paraId="2A7E8A8A">
      <w:pPr>
        <w:spacing w:line="360" w:lineRule="auto"/>
        <w:ind w:firstLine="720" w:firstLineChars="300"/>
        <w:rPr>
          <w:rFonts w:hint="eastAsia" w:ascii="宋体" w:hAnsi="宋体" w:cs="宋体"/>
          <w:bCs/>
          <w:sz w:val="24"/>
          <w:szCs w:val="24"/>
        </w:rPr>
      </w:pPr>
      <w:r>
        <w:rPr>
          <w:rFonts w:hint="eastAsia" w:ascii="宋体" w:hAnsi="宋体" w:cs="宋体"/>
          <w:kern w:val="28"/>
          <w:sz w:val="24"/>
          <w:szCs w:val="24"/>
        </w:rPr>
        <w:t>3）合格的投标人应对本项目所有内容进行报价，不允许只对部分内容进行投标报价。</w:t>
      </w:r>
    </w:p>
    <w:p w14:paraId="1A148727">
      <w:pPr>
        <w:spacing w:line="360" w:lineRule="auto"/>
        <w:ind w:left="240"/>
        <w:rPr>
          <w:rFonts w:hint="eastAsia" w:ascii="宋体" w:hAnsi="宋体" w:cs="宋体"/>
          <w:sz w:val="24"/>
          <w:szCs w:val="24"/>
        </w:rPr>
      </w:pPr>
      <w:r>
        <w:rPr>
          <w:rFonts w:hint="eastAsia" w:ascii="宋体" w:hAnsi="宋体" w:cs="宋体"/>
          <w:sz w:val="24"/>
          <w:szCs w:val="24"/>
        </w:rPr>
        <w:t xml:space="preserve">（4）其他： </w:t>
      </w:r>
    </w:p>
    <w:p w14:paraId="6C629909">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1、合同履行期限：</w:t>
      </w:r>
      <w:r>
        <w:rPr>
          <w:rFonts w:hint="eastAsia" w:ascii="宋体" w:hAnsi="宋体" w:cs="仿宋_GB2312"/>
          <w:sz w:val="24"/>
          <w:szCs w:val="24"/>
        </w:rPr>
        <w:t>签订合同后</w:t>
      </w:r>
      <w:r>
        <w:rPr>
          <w:rFonts w:hint="eastAsia" w:ascii="宋体" w:hAnsi="宋体" w:cs="仿宋_GB2312"/>
          <w:sz w:val="24"/>
          <w:szCs w:val="24"/>
          <w:u w:val="single"/>
        </w:rPr>
        <w:t>60</w:t>
      </w:r>
      <w:r>
        <w:rPr>
          <w:rFonts w:hint="eastAsia" w:ascii="宋体" w:hAnsi="宋体" w:cs="仿宋_GB2312"/>
          <w:sz w:val="24"/>
          <w:szCs w:val="24"/>
        </w:rPr>
        <w:t>天内</w:t>
      </w:r>
      <w:r>
        <w:rPr>
          <w:rFonts w:hint="eastAsia" w:ascii="宋体" w:hAnsi="宋体" w:cs="仿宋_GB2312"/>
          <w:sz w:val="24"/>
          <w:szCs w:val="24"/>
          <w:lang w:eastAsia="zh-CN"/>
        </w:rPr>
        <w:t>（</w:t>
      </w:r>
      <w:r>
        <w:rPr>
          <w:rFonts w:hint="eastAsia" w:ascii="宋体" w:hAnsi="宋体" w:cs="仿宋_GB2312"/>
          <w:sz w:val="24"/>
          <w:szCs w:val="24"/>
          <w:lang w:val="en-US" w:eastAsia="zh-CN"/>
        </w:rPr>
        <w:t>假期顺延</w:t>
      </w:r>
      <w:r>
        <w:rPr>
          <w:rFonts w:hint="eastAsia" w:ascii="宋体" w:hAnsi="宋体" w:cs="仿宋_GB2312"/>
          <w:sz w:val="24"/>
          <w:szCs w:val="24"/>
          <w:lang w:eastAsia="zh-CN"/>
        </w:rPr>
        <w:t>）</w:t>
      </w:r>
      <w:r>
        <w:rPr>
          <w:rFonts w:hint="eastAsia" w:ascii="宋体" w:hAnsi="宋体" w:cs="仿宋_GB2312"/>
          <w:sz w:val="24"/>
          <w:szCs w:val="24"/>
        </w:rPr>
        <w:t>完成供货、安装实施和项目验收。</w:t>
      </w:r>
    </w:p>
    <w:p w14:paraId="29439799">
      <w:pPr>
        <w:spacing w:line="360" w:lineRule="auto"/>
        <w:ind w:firstLine="480" w:firstLineChars="200"/>
        <w:rPr>
          <w:rFonts w:hint="eastAsia" w:ascii="宋体" w:hAnsi="宋体"/>
          <w:sz w:val="24"/>
          <w:szCs w:val="24"/>
          <w:lang w:val="zh-CN"/>
        </w:rPr>
      </w:pPr>
      <w:r>
        <w:rPr>
          <w:rFonts w:hint="eastAsia" w:ascii="宋体" w:hAnsi="宋体"/>
          <w:sz w:val="24"/>
          <w:szCs w:val="24"/>
          <w:lang w:val="zh-CN"/>
        </w:rPr>
        <w:t>2. 本项目承包方式：依据投标报价清单，实行总价包干，中标人承包及负责招标文件对中标人要求的一切事宜及责任。包括货物供货、运输、保管、安装、调试、验收、培训及相关服务等。</w:t>
      </w:r>
    </w:p>
    <w:p w14:paraId="44CAE11A">
      <w:pPr>
        <w:numPr>
          <w:ilvl w:val="0"/>
          <w:numId w:val="1"/>
        </w:numPr>
        <w:spacing w:line="360" w:lineRule="auto"/>
        <w:rPr>
          <w:rFonts w:hint="eastAsia" w:ascii="宋体" w:hAnsi="宋体"/>
          <w:sz w:val="24"/>
          <w:szCs w:val="24"/>
          <w:lang w:val="zh-CN"/>
        </w:rPr>
      </w:pPr>
      <w:r>
        <w:rPr>
          <w:rFonts w:hint="eastAsia" w:ascii="宋体" w:hAnsi="宋体"/>
          <w:sz w:val="24"/>
          <w:szCs w:val="24"/>
          <w:lang w:val="zh-CN"/>
        </w:rPr>
        <w:t xml:space="preserve"> 中标人不得以任何方式转包或分包本项目。</w:t>
      </w:r>
    </w:p>
    <w:p w14:paraId="5F96AFB1">
      <w:pPr>
        <w:spacing w:line="560" w:lineRule="exact"/>
        <w:jc w:val="left"/>
        <w:rPr>
          <w:rFonts w:ascii="宋体" w:hAnsi="宋体" w:cs="Calibri"/>
          <w:b/>
          <w:sz w:val="28"/>
          <w:szCs w:val="28"/>
        </w:rPr>
      </w:pPr>
      <w:r>
        <w:rPr>
          <w:rFonts w:hint="eastAsia" w:ascii="宋体" w:hAnsi="宋体" w:cs="Calibri"/>
          <w:b/>
          <w:sz w:val="28"/>
          <w:szCs w:val="28"/>
        </w:rPr>
        <w:t>二、系统功能需求</w:t>
      </w:r>
    </w:p>
    <w:p w14:paraId="3DDC673F">
      <w:pPr>
        <w:spacing w:line="560" w:lineRule="exact"/>
        <w:ind w:firstLine="480"/>
        <w:jc w:val="left"/>
        <w:rPr>
          <w:rFonts w:ascii="宋体" w:hAnsi="宋体" w:cs="Calibri"/>
          <w:bCs/>
          <w:sz w:val="24"/>
          <w:szCs w:val="24"/>
        </w:rPr>
      </w:pPr>
      <w:r>
        <w:rPr>
          <w:rFonts w:hint="eastAsia" w:ascii="宋体" w:hAnsi="宋体" w:cs="Calibri"/>
          <w:bCs/>
          <w:sz w:val="24"/>
          <w:szCs w:val="24"/>
        </w:rPr>
        <w:t>本项目要求：气体灭火控制需采用二区型，办公区域与档案</w:t>
      </w:r>
      <w:r>
        <w:rPr>
          <w:rFonts w:hint="eastAsia" w:ascii="宋体" w:hAnsi="宋体" w:cs="Calibri"/>
          <w:bCs/>
          <w:sz w:val="24"/>
          <w:szCs w:val="24"/>
          <w:lang w:val="en-US" w:eastAsia="zh-CN"/>
        </w:rPr>
        <w:t>库房</w:t>
      </w:r>
      <w:r>
        <w:rPr>
          <w:rFonts w:hint="eastAsia" w:ascii="宋体" w:hAnsi="宋体" w:cs="Calibri"/>
          <w:bCs/>
          <w:sz w:val="24"/>
          <w:szCs w:val="24"/>
        </w:rPr>
        <w:t>各为独立防护区域。</w:t>
      </w:r>
    </w:p>
    <w:p w14:paraId="752D9D91">
      <w:pPr>
        <w:spacing w:line="560" w:lineRule="exact"/>
        <w:ind w:left="480"/>
        <w:jc w:val="left"/>
        <w:rPr>
          <w:rFonts w:ascii="宋体" w:hAnsi="宋体" w:cs="Calibri"/>
          <w:bCs/>
          <w:sz w:val="24"/>
          <w:szCs w:val="24"/>
        </w:rPr>
      </w:pPr>
      <w:r>
        <w:rPr>
          <w:rFonts w:hint="eastAsia" w:ascii="宋体" w:hAnsi="宋体" w:cs="Calibri"/>
          <w:bCs/>
          <w:sz w:val="24"/>
          <w:szCs w:val="24"/>
        </w:rPr>
        <w:t>1、办公区域未设置气体装置，为独立报警区域。</w:t>
      </w:r>
    </w:p>
    <w:p w14:paraId="32C41973">
      <w:pPr>
        <w:spacing w:line="560" w:lineRule="exact"/>
        <w:ind w:left="480"/>
        <w:jc w:val="left"/>
        <w:rPr>
          <w:rFonts w:ascii="宋体" w:hAnsi="宋体" w:cs="Calibri"/>
          <w:bCs/>
          <w:sz w:val="24"/>
          <w:szCs w:val="24"/>
        </w:rPr>
      </w:pPr>
      <w:r>
        <w:rPr>
          <w:rFonts w:hint="eastAsia" w:ascii="宋体" w:hAnsi="宋体" w:cs="Calibri"/>
          <w:bCs/>
          <w:sz w:val="24"/>
          <w:szCs w:val="24"/>
        </w:rPr>
        <w:t>2、档案</w:t>
      </w:r>
      <w:r>
        <w:rPr>
          <w:rFonts w:hint="eastAsia" w:ascii="宋体" w:hAnsi="宋体" w:cs="Calibri"/>
          <w:bCs/>
          <w:sz w:val="24"/>
          <w:szCs w:val="24"/>
          <w:lang w:val="en-US" w:eastAsia="zh-CN"/>
        </w:rPr>
        <w:t>库房</w:t>
      </w:r>
      <w:r>
        <w:rPr>
          <w:rFonts w:hint="eastAsia" w:ascii="宋体" w:hAnsi="宋体" w:cs="Calibri"/>
          <w:bCs/>
          <w:sz w:val="24"/>
          <w:szCs w:val="24"/>
        </w:rPr>
        <w:t>为独立报警防护区域，防护区域内的烟、温感触发联动气体灭火装置。</w:t>
      </w:r>
    </w:p>
    <w:p w14:paraId="518E8A25">
      <w:pPr>
        <w:spacing w:line="560" w:lineRule="exact"/>
        <w:ind w:left="480"/>
        <w:jc w:val="left"/>
        <w:rPr>
          <w:rFonts w:ascii="宋体" w:hAnsi="宋体" w:cs="Calibri"/>
          <w:bCs/>
          <w:sz w:val="24"/>
          <w:szCs w:val="24"/>
        </w:rPr>
      </w:pPr>
      <w:r>
        <w:rPr>
          <w:rFonts w:hint="eastAsia" w:ascii="宋体" w:hAnsi="宋体" w:cs="Calibri"/>
          <w:bCs/>
          <w:sz w:val="24"/>
          <w:szCs w:val="24"/>
        </w:rPr>
        <w:t>3、所有触发、监控信号需传输至学院消控中心。</w:t>
      </w:r>
    </w:p>
    <w:p w14:paraId="372E9961">
      <w:pPr>
        <w:spacing w:line="560" w:lineRule="exact"/>
        <w:ind w:firstLine="480" w:firstLineChars="200"/>
        <w:jc w:val="left"/>
        <w:rPr>
          <w:rFonts w:hint="eastAsia" w:ascii="宋体" w:hAnsi="宋体" w:cs="Calibri"/>
          <w:bCs/>
          <w:sz w:val="24"/>
          <w:szCs w:val="24"/>
        </w:rPr>
      </w:pPr>
      <w:r>
        <w:rPr>
          <w:rFonts w:hint="eastAsia" w:ascii="宋体" w:hAnsi="宋体" w:cs="Calibri"/>
          <w:bCs/>
          <w:sz w:val="24"/>
          <w:szCs w:val="24"/>
        </w:rPr>
        <w:t>4、气体灭火系统需有四种控制方式</w:t>
      </w:r>
      <w:r>
        <w:rPr>
          <w:bCs/>
          <w:sz w:val="24"/>
          <w:szCs w:val="24"/>
        </w:rPr>
        <w:t>‌</w:t>
      </w:r>
      <w:r>
        <w:rPr>
          <w:rFonts w:hint="eastAsia" w:ascii="宋体" w:hAnsi="宋体" w:cs="宋体"/>
          <w:bCs/>
          <w:sz w:val="24"/>
          <w:szCs w:val="24"/>
        </w:rPr>
        <w:t>：自动控制、手动控制、应急机械启动和紧急启动</w:t>
      </w:r>
      <w:r>
        <w:rPr>
          <w:rFonts w:ascii="宋体" w:hAnsi="宋体" w:cs="Calibri"/>
          <w:bCs/>
          <w:sz w:val="24"/>
          <w:szCs w:val="24"/>
        </w:rPr>
        <w:t>/</w:t>
      </w:r>
      <w:r>
        <w:rPr>
          <w:rFonts w:hint="eastAsia" w:ascii="宋体" w:hAnsi="宋体" w:cs="Calibri"/>
          <w:bCs/>
          <w:sz w:val="24"/>
          <w:szCs w:val="24"/>
        </w:rPr>
        <w:t>停止</w:t>
      </w:r>
      <w:r>
        <w:rPr>
          <w:bCs/>
          <w:sz w:val="24"/>
          <w:szCs w:val="24"/>
        </w:rPr>
        <w:t>‌</w:t>
      </w:r>
    </w:p>
    <w:p w14:paraId="1FBD4F74">
      <w:pPr>
        <w:spacing w:line="560" w:lineRule="exact"/>
        <w:jc w:val="left"/>
        <w:rPr>
          <w:rFonts w:hint="eastAsia" w:ascii="宋体" w:hAnsi="宋体" w:cs="Calibri"/>
          <w:bCs/>
          <w:sz w:val="24"/>
          <w:szCs w:val="24"/>
        </w:rPr>
      </w:pPr>
      <w:r>
        <w:rPr>
          <w:bCs/>
          <w:sz w:val="24"/>
          <w:szCs w:val="24"/>
        </w:rPr>
        <w:t>‌</w:t>
      </w:r>
      <w:r>
        <w:rPr>
          <w:rFonts w:hint="eastAsia"/>
          <w:bCs/>
          <w:sz w:val="24"/>
          <w:szCs w:val="24"/>
        </w:rPr>
        <w:t xml:space="preserve">    1）</w:t>
      </w:r>
      <w:r>
        <w:rPr>
          <w:rFonts w:hint="eastAsia" w:ascii="宋体" w:hAnsi="宋体" w:cs="Calibri"/>
          <w:bCs/>
          <w:sz w:val="24"/>
          <w:szCs w:val="24"/>
        </w:rPr>
        <w:t>自动控制方式</w:t>
      </w:r>
      <w:r>
        <w:rPr>
          <w:bCs/>
          <w:sz w:val="24"/>
          <w:szCs w:val="24"/>
        </w:rPr>
        <w:t>‌</w:t>
      </w:r>
      <w:r>
        <w:rPr>
          <w:rFonts w:hint="eastAsia" w:ascii="宋体" w:hAnsi="宋体" w:cs="宋体"/>
          <w:bCs/>
          <w:sz w:val="24"/>
          <w:szCs w:val="24"/>
        </w:rPr>
        <w:t>：在这种模式下，灭火控制器配有感烟火灾探测器和定温式感温火灾探测器。当控制器置于“自动”位置时，系统会在探测到火灾信号后发出声光报警，经过一段时间延时后启动灭火装置释放灭火剂。如果两种探测器同时发出火灾信号，系统会发出联动指令，关闭联动设备，然后启动灭火装置</w:t>
      </w:r>
      <w:r>
        <w:rPr>
          <w:bCs/>
          <w:sz w:val="24"/>
          <w:szCs w:val="24"/>
        </w:rPr>
        <w:t>‌</w:t>
      </w:r>
      <w:r>
        <w:rPr>
          <w:rFonts w:hint="eastAsia"/>
          <w:bCs/>
          <w:sz w:val="24"/>
          <w:szCs w:val="24"/>
        </w:rPr>
        <w:t>。</w:t>
      </w:r>
    </w:p>
    <w:p w14:paraId="5D1DEE4F">
      <w:pPr>
        <w:spacing w:line="560" w:lineRule="exact"/>
        <w:jc w:val="left"/>
        <w:rPr>
          <w:rFonts w:hint="eastAsia" w:ascii="宋体" w:hAnsi="宋体" w:cs="Calibri"/>
          <w:bCs/>
          <w:sz w:val="24"/>
          <w:szCs w:val="24"/>
        </w:rPr>
      </w:pPr>
      <w:r>
        <w:rPr>
          <w:bCs/>
          <w:sz w:val="24"/>
          <w:szCs w:val="24"/>
        </w:rPr>
        <w:t>‌</w:t>
      </w:r>
      <w:r>
        <w:rPr>
          <w:rFonts w:hint="eastAsia"/>
          <w:bCs/>
          <w:sz w:val="24"/>
          <w:szCs w:val="24"/>
        </w:rPr>
        <w:t xml:space="preserve">    2）</w:t>
      </w:r>
      <w:r>
        <w:rPr>
          <w:rFonts w:hint="eastAsia" w:ascii="宋体" w:hAnsi="宋体" w:cs="Calibri"/>
          <w:bCs/>
          <w:sz w:val="24"/>
          <w:szCs w:val="24"/>
        </w:rPr>
        <w:t>手动控制方式</w:t>
      </w:r>
      <w:r>
        <w:rPr>
          <w:bCs/>
          <w:sz w:val="24"/>
          <w:szCs w:val="24"/>
        </w:rPr>
        <w:t>‌</w:t>
      </w:r>
      <w:r>
        <w:rPr>
          <w:rFonts w:hint="eastAsia" w:ascii="宋体" w:hAnsi="宋体" w:cs="宋体"/>
          <w:bCs/>
          <w:sz w:val="24"/>
          <w:szCs w:val="24"/>
        </w:rPr>
        <w:t>：在这种模式下，控制器上的选择键拨到“手动”位置时，系统处于手动控制状态。当火灾探测器发出火警信号时，控制器发出声光报警，但不会自动启动灭火装置。需要人员确认火灾后按下紧急启动按钮，才能启动灭火装置</w:t>
      </w:r>
      <w:r>
        <w:rPr>
          <w:bCs/>
          <w:sz w:val="24"/>
          <w:szCs w:val="24"/>
        </w:rPr>
        <w:t>‌</w:t>
      </w:r>
      <w:r>
        <w:rPr>
          <w:rFonts w:hint="eastAsia"/>
          <w:bCs/>
          <w:sz w:val="24"/>
          <w:szCs w:val="24"/>
        </w:rPr>
        <w:t>。</w:t>
      </w:r>
    </w:p>
    <w:p w14:paraId="00C7A395">
      <w:pPr>
        <w:spacing w:line="560" w:lineRule="exact"/>
        <w:jc w:val="left"/>
        <w:rPr>
          <w:rFonts w:hint="eastAsia" w:ascii="宋体" w:hAnsi="宋体" w:cs="Calibri"/>
          <w:bCs/>
          <w:sz w:val="24"/>
          <w:szCs w:val="24"/>
        </w:rPr>
      </w:pPr>
      <w:r>
        <w:rPr>
          <w:bCs/>
          <w:sz w:val="24"/>
          <w:szCs w:val="24"/>
        </w:rPr>
        <w:t>‌</w:t>
      </w:r>
      <w:r>
        <w:rPr>
          <w:rFonts w:hint="eastAsia"/>
          <w:bCs/>
          <w:sz w:val="24"/>
          <w:szCs w:val="24"/>
        </w:rPr>
        <w:t xml:space="preserve">    3）</w:t>
      </w:r>
      <w:r>
        <w:rPr>
          <w:rFonts w:hint="eastAsia" w:ascii="宋体" w:hAnsi="宋体" w:cs="Calibri"/>
          <w:bCs/>
          <w:sz w:val="24"/>
          <w:szCs w:val="24"/>
        </w:rPr>
        <w:t>应急机械启动方式</w:t>
      </w:r>
      <w:r>
        <w:rPr>
          <w:bCs/>
          <w:sz w:val="24"/>
          <w:szCs w:val="24"/>
        </w:rPr>
        <w:t>‌</w:t>
      </w:r>
      <w:r>
        <w:rPr>
          <w:rFonts w:hint="eastAsia" w:ascii="宋体" w:hAnsi="宋体" w:cs="宋体"/>
          <w:bCs/>
          <w:sz w:val="24"/>
          <w:szCs w:val="24"/>
        </w:rPr>
        <w:t>：当控制器失效时，职守人员判断为火灾后，应立即通知人员撤离现场。撤离后，手动关闭联动设备并切断电源，打开选择阀和容器阀，启动灭火装置释放灭火剂</w:t>
      </w:r>
      <w:r>
        <w:rPr>
          <w:bCs/>
          <w:sz w:val="24"/>
          <w:szCs w:val="24"/>
        </w:rPr>
        <w:t>‌</w:t>
      </w:r>
      <w:r>
        <w:rPr>
          <w:rFonts w:hint="eastAsia"/>
          <w:bCs/>
          <w:sz w:val="24"/>
          <w:szCs w:val="24"/>
        </w:rPr>
        <w:t>。</w:t>
      </w:r>
    </w:p>
    <w:p w14:paraId="279DD350">
      <w:pPr>
        <w:spacing w:line="560" w:lineRule="exact"/>
        <w:jc w:val="left"/>
        <w:rPr>
          <w:rFonts w:hint="eastAsia"/>
          <w:bCs/>
          <w:sz w:val="24"/>
          <w:szCs w:val="24"/>
        </w:rPr>
      </w:pPr>
      <w:r>
        <w:rPr>
          <w:bCs/>
          <w:sz w:val="24"/>
          <w:szCs w:val="24"/>
        </w:rPr>
        <w:t>‌</w:t>
      </w:r>
      <w:r>
        <w:rPr>
          <w:rFonts w:hint="eastAsia"/>
          <w:bCs/>
          <w:sz w:val="24"/>
          <w:szCs w:val="24"/>
        </w:rPr>
        <w:t xml:space="preserve">    4）</w:t>
      </w:r>
      <w:r>
        <w:rPr>
          <w:rFonts w:hint="eastAsia" w:ascii="宋体" w:hAnsi="宋体" w:cs="Calibri"/>
          <w:bCs/>
          <w:sz w:val="24"/>
          <w:szCs w:val="24"/>
        </w:rPr>
        <w:t>紧急启动</w:t>
      </w:r>
      <w:r>
        <w:rPr>
          <w:rFonts w:ascii="宋体" w:hAnsi="宋体" w:cs="Calibri"/>
          <w:bCs/>
          <w:sz w:val="24"/>
          <w:szCs w:val="24"/>
        </w:rPr>
        <w:t>/</w:t>
      </w:r>
      <w:r>
        <w:rPr>
          <w:rFonts w:hint="eastAsia" w:ascii="宋体" w:hAnsi="宋体" w:cs="Calibri"/>
          <w:bCs/>
          <w:sz w:val="24"/>
          <w:szCs w:val="24"/>
        </w:rPr>
        <w:t>停止方式</w:t>
      </w:r>
      <w:r>
        <w:rPr>
          <w:bCs/>
          <w:sz w:val="24"/>
          <w:szCs w:val="24"/>
        </w:rPr>
        <w:t>‌</w:t>
      </w:r>
      <w:r>
        <w:rPr>
          <w:rFonts w:hint="eastAsia" w:ascii="宋体" w:hAnsi="宋体" w:cs="宋体"/>
          <w:bCs/>
          <w:sz w:val="24"/>
          <w:szCs w:val="24"/>
        </w:rPr>
        <w:t>：用于紧急状态。当控制器未发出声光报警信号时，按下紧急启动</w:t>
      </w:r>
      <w:r>
        <w:rPr>
          <w:rFonts w:ascii="宋体" w:hAnsi="宋体" w:cs="Calibri"/>
          <w:bCs/>
          <w:sz w:val="24"/>
          <w:szCs w:val="24"/>
        </w:rPr>
        <w:t>/</w:t>
      </w:r>
      <w:r>
        <w:rPr>
          <w:rFonts w:hint="eastAsia" w:ascii="宋体" w:hAnsi="宋体" w:cs="Calibri"/>
          <w:bCs/>
          <w:sz w:val="24"/>
          <w:szCs w:val="24"/>
        </w:rPr>
        <w:t>停止按钮即可启动灭火操作；如果在延时阶段发现误报，按下该按钮即可停止灭火操作</w:t>
      </w:r>
      <w:r>
        <w:rPr>
          <w:bCs/>
          <w:sz w:val="24"/>
          <w:szCs w:val="24"/>
        </w:rPr>
        <w:t>‌</w:t>
      </w:r>
      <w:r>
        <w:rPr>
          <w:rFonts w:hint="eastAsia"/>
          <w:bCs/>
          <w:sz w:val="24"/>
          <w:szCs w:val="24"/>
        </w:rPr>
        <w:t>。</w:t>
      </w:r>
    </w:p>
    <w:p w14:paraId="581CAC7A">
      <w:pPr>
        <w:numPr>
          <w:ilvl w:val="0"/>
          <w:numId w:val="2"/>
        </w:numPr>
        <w:spacing w:line="560" w:lineRule="exact"/>
        <w:jc w:val="left"/>
        <w:rPr>
          <w:rFonts w:hint="eastAsia" w:ascii="宋体" w:hAnsi="宋体" w:cs="Calibri"/>
          <w:b/>
          <w:sz w:val="28"/>
          <w:szCs w:val="28"/>
        </w:rPr>
      </w:pPr>
      <w:r>
        <w:rPr>
          <w:rFonts w:hint="eastAsia" w:ascii="宋体" w:hAnsi="宋体" w:cs="Calibri"/>
          <w:b/>
          <w:sz w:val="28"/>
          <w:szCs w:val="28"/>
        </w:rPr>
        <w:t>主要设备功能（参数）要求</w:t>
      </w:r>
    </w:p>
    <w:p w14:paraId="7D78498E">
      <w:pPr>
        <w:spacing w:line="360" w:lineRule="auto"/>
        <w:rPr>
          <w:rFonts w:ascii="宋体" w:hAnsi="宋体"/>
          <w:b/>
          <w:bCs/>
          <w:sz w:val="24"/>
          <w:szCs w:val="24"/>
        </w:rPr>
      </w:pPr>
      <w:r>
        <w:rPr>
          <w:rFonts w:hint="eastAsia" w:ascii="宋体" w:hAnsi="宋体"/>
          <w:b/>
          <w:bCs/>
          <w:sz w:val="24"/>
          <w:szCs w:val="24"/>
          <w:lang w:eastAsia="zh-CN"/>
        </w:rPr>
        <w:t>（</w:t>
      </w:r>
      <w:r>
        <w:rPr>
          <w:rFonts w:hint="eastAsia" w:ascii="宋体" w:hAnsi="宋体"/>
          <w:b/>
          <w:bCs/>
          <w:sz w:val="24"/>
          <w:szCs w:val="24"/>
          <w:lang w:val="en-US" w:eastAsia="zh-CN"/>
        </w:rPr>
        <w:t>一）</w:t>
      </w:r>
      <w:r>
        <w:rPr>
          <w:rFonts w:hint="eastAsia" w:ascii="宋体" w:hAnsi="宋体"/>
          <w:b/>
          <w:bCs/>
          <w:sz w:val="24"/>
          <w:szCs w:val="24"/>
        </w:rPr>
        <w:t>柜式七氟丙烷灭火装置</w:t>
      </w:r>
    </w:p>
    <w:p w14:paraId="77907F0E">
      <w:pPr>
        <w:spacing w:line="360" w:lineRule="auto"/>
        <w:rPr>
          <w:rFonts w:hint="eastAsia" w:ascii="宋体" w:hAnsi="宋体"/>
          <w:sz w:val="24"/>
          <w:szCs w:val="24"/>
        </w:rPr>
      </w:pPr>
      <w:r>
        <w:rPr>
          <w:rFonts w:hint="eastAsia" w:ascii="宋体" w:hAnsi="宋体"/>
          <w:sz w:val="24"/>
          <w:szCs w:val="24"/>
        </w:rPr>
        <w:t xml:space="preserve">    当火灾探测器探测到火灾后将火灾信号反馈到报警控制装置报警控制装置控制声光报警器，发出撤离报警信号并控制联动装置，30S延时后，报警控制装置向柜式七氟丙烷灭火装置的电磁驱动器输出启动电信号（DC24V,1.5A)电磁驱动器动作，开启灭火剂瓶组释放七氟丙烷灭火剂，灭火剂通过喷嘴被喷放到保护区域，达到灭火目的，当高压灭火剂流经管路时，信号反馈装置中微动开关闭合，信号反馈动作反馈电信号到报警控制装置表明七氟丙烷灭火剂已喷放完。</w:t>
      </w:r>
    </w:p>
    <w:p w14:paraId="1C86EAAC">
      <w:pPr>
        <w:spacing w:line="360" w:lineRule="auto"/>
        <w:rPr>
          <w:rFonts w:ascii="宋体" w:hAnsi="宋体"/>
          <w:sz w:val="24"/>
          <w:szCs w:val="24"/>
        </w:rPr>
      </w:pPr>
    </w:p>
    <w:p w14:paraId="3DEC7957">
      <w:pPr>
        <w:spacing w:line="360" w:lineRule="auto"/>
        <w:rPr>
          <w:rFonts w:ascii="宋体" w:hAnsi="宋体"/>
          <w:b/>
          <w:bCs/>
          <w:sz w:val="24"/>
          <w:szCs w:val="24"/>
        </w:rPr>
      </w:pPr>
      <w:r>
        <w:rPr>
          <w:rFonts w:hint="eastAsia" w:ascii="宋体" w:hAnsi="宋体"/>
          <w:b/>
          <w:bCs/>
          <w:sz w:val="24"/>
          <w:szCs w:val="24"/>
          <w:lang w:eastAsia="zh-CN"/>
        </w:rPr>
        <w:t>（</w:t>
      </w:r>
      <w:r>
        <w:rPr>
          <w:rFonts w:hint="eastAsia" w:ascii="宋体" w:hAnsi="宋体"/>
          <w:b/>
          <w:bCs/>
          <w:sz w:val="24"/>
          <w:szCs w:val="24"/>
          <w:lang w:val="en-US" w:eastAsia="zh-CN"/>
        </w:rPr>
        <w:t>二）</w:t>
      </w:r>
      <w:r>
        <w:rPr>
          <w:rFonts w:hint="eastAsia" w:ascii="宋体" w:hAnsi="宋体"/>
          <w:b/>
          <w:bCs/>
          <w:sz w:val="24"/>
          <w:szCs w:val="24"/>
        </w:rPr>
        <w:t>机械泄压口</w:t>
      </w:r>
    </w:p>
    <w:p w14:paraId="1C0A50AE">
      <w:pPr>
        <w:spacing w:line="360" w:lineRule="auto"/>
        <w:rPr>
          <w:rFonts w:hint="eastAsia" w:ascii="宋体" w:hAnsi="宋体"/>
          <w:sz w:val="24"/>
          <w:szCs w:val="24"/>
        </w:rPr>
      </w:pPr>
      <w:r>
        <w:rPr>
          <w:rFonts w:hint="eastAsia" w:ascii="宋体" w:hAnsi="宋体"/>
          <w:sz w:val="24"/>
          <w:szCs w:val="24"/>
        </w:rPr>
        <w:t xml:space="preserve">    机械泄压口（装置）主要由窗体、窗叶等组成。泄压装置安装在建筑外墙上，平时关闭，当发生火情灭火系统释放灭火剂时灭火区域气压升高，泄压装置窗叶内外形成气压差，当达到一定值时即推动窗叶开启，从而维持灭火区域一定的灭火浓度又保护维护结构免遭破坏。按照规范要求不同建筑空间需要不同泄压面积的泄压装置，可根据灭火区域围护结构的的耐压强度及灭火剂的喷射率与特定的系数计算出泄压面积，通过调整泄压面积控制机构得到需要的有效泄压面积来满足工程上的需要。</w:t>
      </w:r>
    </w:p>
    <w:p w14:paraId="1C642B22">
      <w:pPr>
        <w:spacing w:line="360" w:lineRule="auto"/>
        <w:rPr>
          <w:rFonts w:ascii="宋体" w:hAnsi="宋体"/>
          <w:sz w:val="24"/>
          <w:szCs w:val="24"/>
        </w:rPr>
      </w:pPr>
    </w:p>
    <w:p w14:paraId="673F9ACA">
      <w:pPr>
        <w:spacing w:line="360" w:lineRule="auto"/>
        <w:rPr>
          <w:rFonts w:ascii="宋体" w:hAnsi="宋体"/>
          <w:b/>
          <w:bCs/>
          <w:sz w:val="24"/>
          <w:szCs w:val="24"/>
        </w:rPr>
      </w:pPr>
      <w:r>
        <w:rPr>
          <w:rFonts w:hint="eastAsia" w:ascii="宋体" w:hAnsi="宋体"/>
          <w:b/>
          <w:bCs/>
          <w:sz w:val="24"/>
          <w:szCs w:val="24"/>
          <w:lang w:eastAsia="zh-CN"/>
        </w:rPr>
        <w:t>（</w:t>
      </w:r>
      <w:r>
        <w:rPr>
          <w:rFonts w:hint="eastAsia" w:ascii="宋体" w:hAnsi="宋体"/>
          <w:b/>
          <w:bCs/>
          <w:sz w:val="24"/>
          <w:szCs w:val="24"/>
          <w:lang w:val="en-US" w:eastAsia="zh-CN"/>
        </w:rPr>
        <w:t>三）</w:t>
      </w:r>
      <w:r>
        <w:rPr>
          <w:rFonts w:hint="eastAsia" w:ascii="宋体" w:hAnsi="宋体"/>
          <w:b/>
          <w:bCs/>
          <w:sz w:val="24"/>
          <w:szCs w:val="24"/>
        </w:rPr>
        <w:t>气体灭火系统控制器</w:t>
      </w:r>
    </w:p>
    <w:p w14:paraId="3B840B08">
      <w:pPr>
        <w:spacing w:line="360" w:lineRule="auto"/>
        <w:ind w:firstLine="480" w:firstLineChars="200"/>
        <w:rPr>
          <w:rFonts w:hint="eastAsia" w:ascii="宋体" w:hAnsi="宋体"/>
          <w:sz w:val="24"/>
          <w:szCs w:val="24"/>
        </w:rPr>
      </w:pPr>
      <w:r>
        <w:rPr>
          <w:rFonts w:hint="eastAsia" w:ascii="宋体" w:hAnsi="宋体"/>
          <w:sz w:val="24"/>
          <w:szCs w:val="24"/>
        </w:rPr>
        <w:t>主电：AC220V/50Hz(187V~242V)；最大工作电流4A；</w:t>
      </w:r>
    </w:p>
    <w:p w14:paraId="00C17F28">
      <w:pPr>
        <w:spacing w:line="360" w:lineRule="auto"/>
        <w:ind w:firstLine="480" w:firstLineChars="200"/>
        <w:rPr>
          <w:rFonts w:ascii="宋体" w:hAnsi="宋体"/>
          <w:sz w:val="24"/>
          <w:szCs w:val="24"/>
        </w:rPr>
      </w:pPr>
      <w:r>
        <w:rPr>
          <w:rFonts w:hint="eastAsia" w:ascii="宋体" w:hAnsi="宋体"/>
          <w:sz w:val="24"/>
          <w:szCs w:val="24"/>
        </w:rPr>
        <w:t>备电：两节 DC 12V 免维护铅酸电池</w:t>
      </w:r>
    </w:p>
    <w:p w14:paraId="60DAC07F">
      <w:pPr>
        <w:spacing w:line="360" w:lineRule="auto"/>
        <w:ind w:firstLine="480" w:firstLineChars="200"/>
        <w:rPr>
          <w:rFonts w:hint="eastAsia" w:ascii="宋体" w:hAnsi="宋体"/>
          <w:sz w:val="24"/>
          <w:szCs w:val="24"/>
        </w:rPr>
      </w:pPr>
      <w:r>
        <w:rPr>
          <w:rFonts w:hint="eastAsia" w:ascii="宋体" w:hAnsi="宋体"/>
          <w:sz w:val="24"/>
          <w:szCs w:val="24"/>
        </w:rPr>
        <w:t>系统工作环境：</w:t>
      </w:r>
    </w:p>
    <w:p w14:paraId="32EC82D9">
      <w:pPr>
        <w:spacing w:line="360" w:lineRule="auto"/>
        <w:ind w:firstLine="480" w:firstLineChars="200"/>
        <w:rPr>
          <w:rFonts w:hint="eastAsia" w:ascii="宋体" w:hAnsi="宋体"/>
          <w:sz w:val="24"/>
          <w:szCs w:val="24"/>
        </w:rPr>
      </w:pPr>
      <w:r>
        <w:rPr>
          <w:rFonts w:hint="eastAsia" w:ascii="宋体" w:hAnsi="宋体"/>
          <w:sz w:val="24"/>
          <w:szCs w:val="24"/>
        </w:rPr>
        <w:t>环境温度:0℃～+40℃；</w:t>
      </w:r>
    </w:p>
    <w:p w14:paraId="1AA42563">
      <w:pPr>
        <w:spacing w:line="360" w:lineRule="auto"/>
        <w:ind w:firstLine="480" w:firstLineChars="200"/>
        <w:rPr>
          <w:rFonts w:hint="eastAsia" w:ascii="宋体" w:hAnsi="宋体"/>
          <w:sz w:val="24"/>
          <w:szCs w:val="24"/>
        </w:rPr>
      </w:pPr>
      <w:r>
        <w:rPr>
          <w:rFonts w:hint="eastAsia" w:ascii="宋体" w:hAnsi="宋体"/>
          <w:sz w:val="24"/>
          <w:szCs w:val="24"/>
        </w:rPr>
        <w:t>环境湿度：≤95°（40℃士2℃，无凝露）</w:t>
      </w:r>
    </w:p>
    <w:p w14:paraId="05F958C1">
      <w:pPr>
        <w:spacing w:line="360" w:lineRule="auto"/>
        <w:ind w:firstLine="480" w:firstLineChars="200"/>
        <w:rPr>
          <w:rFonts w:hint="eastAsia" w:ascii="宋体" w:hAnsi="宋体"/>
          <w:sz w:val="24"/>
          <w:szCs w:val="24"/>
        </w:rPr>
      </w:pPr>
      <w:r>
        <w:rPr>
          <w:rFonts w:hint="eastAsia" w:ascii="宋体" w:hAnsi="宋体"/>
          <w:sz w:val="24"/>
          <w:szCs w:val="24"/>
        </w:rPr>
        <w:t>1、采用采用智能探测器和模块内置微处理器，具有数字滤波和自动补偿功能，采集数据真实可靠;</w:t>
      </w:r>
    </w:p>
    <w:p w14:paraId="0548227B">
      <w:pPr>
        <w:spacing w:line="360" w:lineRule="auto"/>
        <w:ind w:firstLine="480" w:firstLineChars="200"/>
        <w:rPr>
          <w:rFonts w:hint="eastAsia" w:ascii="宋体" w:hAnsi="宋体"/>
          <w:sz w:val="24"/>
          <w:szCs w:val="24"/>
        </w:rPr>
      </w:pPr>
      <w:r>
        <w:rPr>
          <w:rFonts w:hint="eastAsia" w:ascii="宋体" w:hAnsi="宋体"/>
          <w:sz w:val="24"/>
          <w:szCs w:val="24"/>
        </w:rPr>
        <w:t>2、控制器集火灾报警和气体灭火功能，可根据具体环境及重要性对探测器报警灵敏度进行调节;</w:t>
      </w:r>
    </w:p>
    <w:p w14:paraId="1D5737BD">
      <w:pPr>
        <w:spacing w:line="360" w:lineRule="auto"/>
        <w:ind w:firstLine="480" w:firstLineChars="200"/>
        <w:rPr>
          <w:rFonts w:hint="eastAsia" w:ascii="宋体" w:hAnsi="宋体"/>
          <w:sz w:val="24"/>
          <w:szCs w:val="24"/>
        </w:rPr>
      </w:pPr>
      <w:r>
        <w:rPr>
          <w:rFonts w:hint="eastAsia" w:ascii="宋体" w:hAnsi="宋体"/>
          <w:sz w:val="24"/>
          <w:szCs w:val="24"/>
        </w:rPr>
        <w:t>3、能迅速释放高浓度压缩气体并快速充满整个场所，对场所内各处的立体火均有很好灭火效果;</w:t>
      </w:r>
    </w:p>
    <w:p w14:paraId="333C2771">
      <w:pPr>
        <w:spacing w:line="360" w:lineRule="auto"/>
        <w:ind w:firstLine="480" w:firstLineChars="200"/>
        <w:rPr>
          <w:rFonts w:hint="eastAsia" w:ascii="宋体" w:hAnsi="宋体"/>
          <w:sz w:val="24"/>
          <w:szCs w:val="24"/>
        </w:rPr>
      </w:pPr>
      <w:r>
        <w:rPr>
          <w:rFonts w:hint="eastAsia" w:ascii="宋体" w:hAnsi="宋体"/>
          <w:sz w:val="24"/>
          <w:szCs w:val="24"/>
        </w:rPr>
        <w:t>4、系统采用 2.8”彩色液晶屏显示，可打印系统所有报警、故障及各类操作的汉字信息。具有全面的现场编程能力，解决复杂的联动关系设置。单台设备最大容量为 200 个(火报 40 点，气灭 160 点)总线报警控制点，可组网。</w:t>
      </w:r>
    </w:p>
    <w:p w14:paraId="1AA7DBAA">
      <w:pPr>
        <w:spacing w:line="360" w:lineRule="auto"/>
        <w:ind w:firstLine="480" w:firstLineChars="200"/>
        <w:rPr>
          <w:rFonts w:hint="eastAsia" w:ascii="宋体" w:hAnsi="宋体"/>
          <w:sz w:val="24"/>
          <w:szCs w:val="24"/>
        </w:rPr>
      </w:pPr>
      <w:r>
        <w:rPr>
          <w:rFonts w:hint="eastAsia" w:ascii="宋体" w:hAnsi="宋体"/>
          <w:sz w:val="24"/>
          <w:szCs w:val="24"/>
        </w:rPr>
        <w:t>5、功能特点</w:t>
      </w:r>
    </w:p>
    <w:p w14:paraId="23E969B0">
      <w:pPr>
        <w:spacing w:line="360" w:lineRule="auto"/>
        <w:ind w:firstLine="480" w:firstLineChars="200"/>
        <w:rPr>
          <w:rFonts w:hint="eastAsia" w:ascii="宋体" w:hAnsi="宋体"/>
          <w:sz w:val="24"/>
          <w:szCs w:val="24"/>
        </w:rPr>
      </w:pPr>
      <w:r>
        <w:rPr>
          <w:rFonts w:hint="eastAsia" w:ascii="宋体" w:hAnsi="宋体"/>
          <w:sz w:val="24"/>
          <w:szCs w:val="24"/>
        </w:rPr>
        <w:t>1）. 采用新一代高速微处理器，与传统处理器相比，数据处理速度提高了 100 倍，数据存储容量提高了1000 倍;</w:t>
      </w:r>
    </w:p>
    <w:p w14:paraId="5FEF4767">
      <w:pPr>
        <w:spacing w:line="360" w:lineRule="auto"/>
        <w:ind w:firstLine="480" w:firstLineChars="200"/>
        <w:rPr>
          <w:rFonts w:hint="eastAsia" w:ascii="宋体" w:hAnsi="宋体"/>
          <w:sz w:val="24"/>
          <w:szCs w:val="24"/>
        </w:rPr>
      </w:pPr>
      <w:r>
        <w:rPr>
          <w:rFonts w:hint="eastAsia" w:ascii="宋体" w:hAnsi="宋体"/>
          <w:sz w:val="24"/>
          <w:szCs w:val="24"/>
        </w:rPr>
        <w:t>2）.采用 2.8 英寸彩色液晶屏 (LCD) ，显示分辨率为 240X320:</w:t>
      </w:r>
    </w:p>
    <w:p w14:paraId="25E36D3F">
      <w:pPr>
        <w:spacing w:line="360" w:lineRule="auto"/>
        <w:ind w:firstLine="480" w:firstLineChars="200"/>
        <w:rPr>
          <w:rFonts w:hint="eastAsia" w:ascii="宋体" w:hAnsi="宋体"/>
          <w:sz w:val="24"/>
          <w:szCs w:val="24"/>
        </w:rPr>
      </w:pPr>
      <w:r>
        <w:rPr>
          <w:rFonts w:hint="eastAsia" w:ascii="宋体" w:hAnsi="宋体"/>
          <w:sz w:val="24"/>
          <w:szCs w:val="24"/>
        </w:rPr>
        <w:t>3）. 操作界面采用仿 Windows 菜单和窗口界面，与电脑操作和使用习惯相接近，简单易学;</w:t>
      </w:r>
    </w:p>
    <w:p w14:paraId="241084E9">
      <w:pPr>
        <w:spacing w:line="360" w:lineRule="auto"/>
        <w:ind w:firstLine="480" w:firstLineChars="200"/>
        <w:rPr>
          <w:rFonts w:hint="eastAsia" w:ascii="宋体" w:hAnsi="宋体"/>
          <w:sz w:val="24"/>
          <w:szCs w:val="24"/>
        </w:rPr>
      </w:pPr>
      <w:r>
        <w:rPr>
          <w:rFonts w:hint="eastAsia" w:ascii="宋体" w:hAnsi="宋体"/>
          <w:sz w:val="24"/>
          <w:szCs w:val="24"/>
        </w:rPr>
        <w:t>4）. 可使用智能存储 U 盘(选配)，可复制或恢复系统的设置文件和历史文件，方便系统维护;</w:t>
      </w:r>
    </w:p>
    <w:p w14:paraId="7299AEC0">
      <w:pPr>
        <w:spacing w:line="360" w:lineRule="auto"/>
        <w:ind w:firstLine="480" w:firstLineChars="200"/>
        <w:rPr>
          <w:rFonts w:hint="eastAsia" w:ascii="宋体" w:hAnsi="宋体"/>
          <w:sz w:val="24"/>
          <w:szCs w:val="24"/>
        </w:rPr>
      </w:pPr>
      <w:r>
        <w:rPr>
          <w:rFonts w:hint="eastAsia" w:ascii="宋体" w:hAnsi="宋体"/>
          <w:sz w:val="24"/>
          <w:szCs w:val="24"/>
        </w:rPr>
        <w:t>5）. 采用无极性二总线智能报警联动模式，最大接入5回路共200 个智能探测器或模块，地址可混编，1-200#任选;</w:t>
      </w:r>
    </w:p>
    <w:p w14:paraId="3CFC223F">
      <w:pPr>
        <w:spacing w:line="360" w:lineRule="auto"/>
        <w:ind w:firstLine="480" w:firstLineChars="200"/>
        <w:rPr>
          <w:rFonts w:hint="eastAsia" w:ascii="宋体" w:hAnsi="宋体"/>
          <w:sz w:val="24"/>
          <w:szCs w:val="24"/>
        </w:rPr>
      </w:pPr>
      <w:r>
        <w:rPr>
          <w:rFonts w:hint="eastAsia" w:ascii="宋体" w:hAnsi="宋体"/>
          <w:sz w:val="24"/>
          <w:szCs w:val="24"/>
        </w:rPr>
        <w:t>6）. 系统运行历史记录功能:火警、联动各 9999 条，故障、操作、放气各 999 条;</w:t>
      </w:r>
    </w:p>
    <w:p w14:paraId="3757BA84">
      <w:pPr>
        <w:spacing w:line="360" w:lineRule="auto"/>
        <w:ind w:firstLine="480" w:firstLineChars="200"/>
        <w:rPr>
          <w:rFonts w:hint="eastAsia" w:ascii="宋体" w:hAnsi="宋体"/>
          <w:sz w:val="24"/>
          <w:szCs w:val="24"/>
        </w:rPr>
      </w:pPr>
      <w:r>
        <w:rPr>
          <w:rFonts w:hint="eastAsia" w:ascii="宋体" w:hAnsi="宋体"/>
          <w:sz w:val="24"/>
          <w:szCs w:val="24"/>
        </w:rPr>
        <w:t>7）. 用户可自定义设备类型，方便系统集成;</w:t>
      </w:r>
    </w:p>
    <w:p w14:paraId="1B833B1A">
      <w:pPr>
        <w:spacing w:line="360" w:lineRule="auto"/>
        <w:ind w:firstLine="480" w:firstLineChars="200"/>
        <w:rPr>
          <w:rFonts w:hint="eastAsia" w:ascii="宋体" w:hAnsi="宋体"/>
          <w:sz w:val="24"/>
          <w:szCs w:val="24"/>
        </w:rPr>
      </w:pPr>
      <w:r>
        <w:rPr>
          <w:rFonts w:hint="eastAsia" w:ascii="宋体" w:hAnsi="宋体"/>
          <w:sz w:val="24"/>
          <w:szCs w:val="24"/>
        </w:rPr>
        <w:t>8）. 具备模块的手动单点启动/停止功能，方便现场调试及测试;</w:t>
      </w:r>
    </w:p>
    <w:p w14:paraId="42C9639D">
      <w:pPr>
        <w:spacing w:line="360" w:lineRule="auto"/>
        <w:ind w:firstLine="480" w:firstLineChars="200"/>
        <w:rPr>
          <w:rFonts w:hint="eastAsia" w:ascii="宋体" w:hAnsi="宋体"/>
          <w:sz w:val="24"/>
          <w:szCs w:val="24"/>
        </w:rPr>
      </w:pPr>
      <w:r>
        <w:rPr>
          <w:rFonts w:hint="eastAsia" w:ascii="宋体" w:hAnsi="宋体"/>
          <w:sz w:val="24"/>
          <w:szCs w:val="24"/>
        </w:rPr>
        <w:t>9）. 具备探测器单点测试功能，探测器工作状态与测试数据一目了然；</w:t>
      </w:r>
    </w:p>
    <w:p w14:paraId="374FC0E8">
      <w:pPr>
        <w:spacing w:line="360" w:lineRule="auto"/>
        <w:ind w:firstLine="480" w:firstLineChars="200"/>
        <w:rPr>
          <w:rFonts w:hint="eastAsia" w:ascii="宋体" w:hAnsi="宋体"/>
          <w:sz w:val="24"/>
          <w:szCs w:val="24"/>
        </w:rPr>
      </w:pPr>
      <w:r>
        <w:rPr>
          <w:rFonts w:hint="eastAsia" w:ascii="宋体" w:hAnsi="宋体"/>
          <w:sz w:val="24"/>
          <w:szCs w:val="24"/>
        </w:rPr>
        <w:t>10）. 可接入总线型区域显示盘、楼栋显示盘或楼层显示盘，将控制器显示信息延伸至楼道等位置；</w:t>
      </w:r>
    </w:p>
    <w:p w14:paraId="7F5D4C95">
      <w:pPr>
        <w:spacing w:line="360" w:lineRule="auto"/>
        <w:ind w:firstLine="480" w:firstLineChars="200"/>
        <w:rPr>
          <w:rFonts w:hint="eastAsia" w:ascii="宋体" w:hAnsi="宋体"/>
          <w:sz w:val="24"/>
          <w:szCs w:val="24"/>
        </w:rPr>
      </w:pPr>
      <w:r>
        <w:rPr>
          <w:rFonts w:hint="eastAsia" w:ascii="宋体" w:hAnsi="宋体"/>
          <w:sz w:val="24"/>
          <w:szCs w:val="24"/>
        </w:rPr>
        <w:t>11）. 可连接消防控制室图形显示装置 (选配)，直观显示发生火警、故障的具体位置信息;</w:t>
      </w:r>
    </w:p>
    <w:p w14:paraId="698E0FF4">
      <w:pPr>
        <w:spacing w:line="360" w:lineRule="auto"/>
        <w:ind w:firstLine="480" w:firstLineChars="200"/>
        <w:rPr>
          <w:rFonts w:hint="eastAsia" w:ascii="宋体" w:hAnsi="宋体"/>
          <w:sz w:val="24"/>
          <w:szCs w:val="24"/>
        </w:rPr>
      </w:pPr>
      <w:r>
        <w:rPr>
          <w:rFonts w:hint="eastAsia" w:ascii="宋体" w:hAnsi="宋体"/>
          <w:sz w:val="24"/>
          <w:szCs w:val="24"/>
        </w:rPr>
        <w:t>12）. 系统实行多级用户的采用分级管理机制，不同级别的用户给予相应的系统操作权限，方便系统管理；</w:t>
      </w:r>
    </w:p>
    <w:p w14:paraId="08F70253">
      <w:pPr>
        <w:spacing w:line="360" w:lineRule="auto"/>
        <w:ind w:firstLine="480" w:firstLineChars="200"/>
        <w:rPr>
          <w:rFonts w:hint="eastAsia" w:ascii="宋体" w:hAnsi="宋体"/>
          <w:sz w:val="24"/>
          <w:szCs w:val="24"/>
        </w:rPr>
      </w:pPr>
      <w:r>
        <w:rPr>
          <w:rFonts w:hint="eastAsia" w:ascii="宋体" w:hAnsi="宋体"/>
          <w:sz w:val="24"/>
          <w:szCs w:val="24"/>
        </w:rPr>
        <w:t>13）. 系统可现场或远程软件升级，确保系统工作在稳定、可靠的状态;</w:t>
      </w:r>
    </w:p>
    <w:p w14:paraId="1E117E87">
      <w:pPr>
        <w:spacing w:line="360" w:lineRule="auto"/>
        <w:ind w:firstLine="480" w:firstLineChars="200"/>
        <w:rPr>
          <w:rFonts w:hint="eastAsia" w:ascii="宋体" w:hAnsi="宋体"/>
          <w:sz w:val="24"/>
          <w:szCs w:val="24"/>
        </w:rPr>
      </w:pPr>
      <w:r>
        <w:rPr>
          <w:rFonts w:hint="eastAsia" w:ascii="宋体" w:hAnsi="宋体"/>
          <w:sz w:val="24"/>
          <w:szCs w:val="24"/>
        </w:rPr>
        <w:t>14）. 独立接线区，无需开机接线;</w:t>
      </w:r>
    </w:p>
    <w:p w14:paraId="79EE6F46">
      <w:pPr>
        <w:spacing w:line="360" w:lineRule="auto"/>
        <w:ind w:firstLine="480" w:firstLineChars="200"/>
        <w:rPr>
          <w:rFonts w:ascii="宋体" w:hAnsi="宋体"/>
          <w:sz w:val="24"/>
          <w:szCs w:val="24"/>
        </w:rPr>
      </w:pPr>
      <w:r>
        <w:rPr>
          <w:rFonts w:hint="eastAsia" w:ascii="宋体" w:hAnsi="宋体"/>
          <w:sz w:val="24"/>
          <w:szCs w:val="24"/>
        </w:rPr>
        <w:t>15）. 执行标准:GB 4717-2005《火灾报警控制器》和 GB 16806-2006《消防联动控制系统》。</w:t>
      </w:r>
    </w:p>
    <w:p w14:paraId="6B1B61DE">
      <w:pPr>
        <w:spacing w:line="360" w:lineRule="auto"/>
        <w:ind w:firstLine="480" w:firstLineChars="200"/>
        <w:rPr>
          <w:rFonts w:hint="eastAsia" w:ascii="宋体" w:hAnsi="宋体"/>
          <w:sz w:val="24"/>
          <w:szCs w:val="24"/>
        </w:rPr>
      </w:pPr>
    </w:p>
    <w:p w14:paraId="6B726AD6">
      <w:pPr>
        <w:spacing w:line="360" w:lineRule="auto"/>
        <w:rPr>
          <w:rFonts w:ascii="宋体" w:hAnsi="宋体"/>
          <w:b/>
          <w:bCs/>
          <w:sz w:val="24"/>
          <w:szCs w:val="24"/>
        </w:rPr>
      </w:pPr>
      <w:r>
        <w:rPr>
          <w:rFonts w:hint="eastAsia" w:ascii="宋体" w:hAnsi="宋体"/>
          <w:b/>
          <w:bCs/>
          <w:sz w:val="24"/>
          <w:szCs w:val="24"/>
          <w:lang w:eastAsia="zh-CN"/>
        </w:rPr>
        <w:t>（</w:t>
      </w:r>
      <w:r>
        <w:rPr>
          <w:rFonts w:hint="eastAsia" w:ascii="宋体" w:hAnsi="宋体"/>
          <w:b/>
          <w:bCs/>
          <w:sz w:val="24"/>
          <w:szCs w:val="24"/>
          <w:lang w:val="en-US" w:eastAsia="zh-CN"/>
        </w:rPr>
        <w:t>四）</w:t>
      </w:r>
      <w:r>
        <w:rPr>
          <w:rFonts w:hint="eastAsia" w:ascii="宋体" w:hAnsi="宋体"/>
          <w:b/>
          <w:bCs/>
          <w:sz w:val="24"/>
          <w:szCs w:val="24"/>
        </w:rPr>
        <w:t>感烟探测器</w:t>
      </w:r>
    </w:p>
    <w:p w14:paraId="4B13D98B">
      <w:pPr>
        <w:spacing w:line="360" w:lineRule="auto"/>
        <w:rPr>
          <w:rFonts w:hint="eastAsia" w:ascii="宋体" w:hAnsi="宋体"/>
          <w:sz w:val="24"/>
          <w:szCs w:val="24"/>
        </w:rPr>
      </w:pPr>
      <w:r>
        <w:rPr>
          <w:rFonts w:hint="eastAsia" w:ascii="宋体" w:hAnsi="宋体"/>
          <w:sz w:val="24"/>
          <w:szCs w:val="24"/>
        </w:rPr>
        <w:t xml:space="preserve">    工作环境：温度:-10℃～+55℃，相对湿度≤95%（40℃±2℃无凝露）</w:t>
      </w:r>
    </w:p>
    <w:p w14:paraId="3C357EAC">
      <w:pPr>
        <w:spacing w:line="360" w:lineRule="auto"/>
        <w:ind w:firstLine="480" w:firstLineChars="200"/>
        <w:rPr>
          <w:rFonts w:ascii="宋体" w:hAnsi="宋体"/>
          <w:sz w:val="24"/>
          <w:szCs w:val="24"/>
        </w:rPr>
      </w:pPr>
      <w:r>
        <w:rPr>
          <w:rFonts w:hint="eastAsia" w:ascii="宋体" w:hAnsi="宋体"/>
          <w:sz w:val="24"/>
          <w:szCs w:val="24"/>
        </w:rPr>
        <w:t>工作电压：总线24V ；DC24V</w:t>
      </w:r>
    </w:p>
    <w:p w14:paraId="1F164C00">
      <w:pPr>
        <w:spacing w:line="360" w:lineRule="auto"/>
        <w:ind w:firstLine="480" w:firstLineChars="200"/>
        <w:rPr>
          <w:rFonts w:ascii="宋体" w:hAnsi="宋体"/>
          <w:sz w:val="24"/>
          <w:szCs w:val="24"/>
        </w:rPr>
      </w:pPr>
      <w:r>
        <w:rPr>
          <w:rFonts w:hint="eastAsia" w:ascii="宋体" w:hAnsi="宋体"/>
          <w:sz w:val="24"/>
          <w:szCs w:val="24"/>
        </w:rPr>
        <w:t>工作电流 ：监视状态:＜300uA报警状态:＜1.5mA；监视状态:＜50uA报警状态:1mA~20mA</w:t>
      </w:r>
    </w:p>
    <w:p w14:paraId="693DFF87">
      <w:pPr>
        <w:spacing w:line="360" w:lineRule="auto"/>
        <w:ind w:firstLine="480" w:firstLineChars="200"/>
        <w:rPr>
          <w:rFonts w:ascii="宋体" w:hAnsi="宋体"/>
          <w:sz w:val="24"/>
          <w:szCs w:val="24"/>
        </w:rPr>
      </w:pPr>
      <w:r>
        <w:rPr>
          <w:rFonts w:hint="eastAsia" w:ascii="宋体" w:hAnsi="宋体"/>
          <w:sz w:val="24"/>
          <w:szCs w:val="24"/>
        </w:rPr>
        <w:t>工作指示：状态指示灯,巡检时闪烁,报警时常亮</w:t>
      </w:r>
    </w:p>
    <w:p w14:paraId="3FABA193">
      <w:pPr>
        <w:spacing w:line="360" w:lineRule="auto"/>
        <w:ind w:firstLine="480" w:firstLineChars="200"/>
        <w:rPr>
          <w:rFonts w:hint="eastAsia" w:ascii="宋体" w:hAnsi="宋体"/>
          <w:sz w:val="24"/>
          <w:szCs w:val="24"/>
        </w:rPr>
      </w:pPr>
      <w:r>
        <w:rPr>
          <w:rFonts w:hint="eastAsia" w:ascii="宋体" w:hAnsi="宋体"/>
          <w:sz w:val="24"/>
          <w:szCs w:val="24"/>
        </w:rPr>
        <w:t>接线方式：二线制</w:t>
      </w:r>
    </w:p>
    <w:p w14:paraId="3AF01DB0">
      <w:pPr>
        <w:spacing w:line="360" w:lineRule="auto"/>
        <w:ind w:firstLine="480" w:firstLineChars="200"/>
        <w:rPr>
          <w:rFonts w:hint="eastAsia" w:ascii="宋体" w:hAnsi="宋体"/>
          <w:sz w:val="24"/>
          <w:szCs w:val="24"/>
        </w:rPr>
      </w:pPr>
      <w:r>
        <w:rPr>
          <w:rFonts w:hint="eastAsia" w:ascii="宋体" w:hAnsi="宋体"/>
          <w:sz w:val="24"/>
          <w:szCs w:val="24"/>
        </w:rPr>
        <w:t>编码类型：电子编码型</w:t>
      </w:r>
    </w:p>
    <w:p w14:paraId="40B2CD5B">
      <w:pPr>
        <w:spacing w:line="360" w:lineRule="auto"/>
        <w:ind w:firstLine="480" w:firstLineChars="200"/>
        <w:rPr>
          <w:rFonts w:ascii="宋体" w:hAnsi="宋体"/>
          <w:sz w:val="24"/>
          <w:szCs w:val="24"/>
        </w:rPr>
      </w:pPr>
      <w:r>
        <w:rPr>
          <w:rFonts w:hint="eastAsia" w:ascii="宋体" w:hAnsi="宋体"/>
          <w:sz w:val="24"/>
          <w:szCs w:val="24"/>
        </w:rPr>
        <w:t>执行标准：GB4715-2005《点型感烟火灾探测器》</w:t>
      </w:r>
    </w:p>
    <w:p w14:paraId="306671A6">
      <w:pPr>
        <w:spacing w:line="360" w:lineRule="auto"/>
        <w:ind w:firstLine="480" w:firstLineChars="200"/>
        <w:rPr>
          <w:rFonts w:hint="eastAsia" w:ascii="宋体" w:hAnsi="宋体"/>
          <w:sz w:val="24"/>
          <w:szCs w:val="24"/>
        </w:rPr>
      </w:pPr>
      <w:r>
        <w:rPr>
          <w:rFonts w:hint="eastAsia" w:ascii="宋体" w:hAnsi="宋体"/>
          <w:sz w:val="24"/>
          <w:szCs w:val="24"/>
        </w:rPr>
        <w:t>1.全电子编码，可通过编码器现场改写。</w:t>
      </w:r>
    </w:p>
    <w:p w14:paraId="4FA4E86B">
      <w:pPr>
        <w:spacing w:line="360" w:lineRule="auto"/>
        <w:rPr>
          <w:rFonts w:hint="eastAsia" w:ascii="宋体" w:hAnsi="宋体"/>
          <w:sz w:val="24"/>
          <w:szCs w:val="24"/>
        </w:rPr>
      </w:pPr>
      <w:r>
        <w:rPr>
          <w:rFonts w:hint="eastAsia" w:ascii="宋体" w:hAnsi="宋体"/>
          <w:sz w:val="24"/>
          <w:szCs w:val="24"/>
        </w:rPr>
        <w:t>　　2.单片机实时采样处理数据、并能保存最近144条历史数据，曲线跟踪现场况。</w:t>
      </w:r>
    </w:p>
    <w:p w14:paraId="467A8634">
      <w:pPr>
        <w:spacing w:line="360" w:lineRule="auto"/>
        <w:rPr>
          <w:rFonts w:hint="eastAsia" w:ascii="宋体" w:hAnsi="宋体"/>
          <w:sz w:val="24"/>
          <w:szCs w:val="24"/>
        </w:rPr>
      </w:pPr>
      <w:r>
        <w:rPr>
          <w:rFonts w:hint="eastAsia" w:ascii="宋体" w:hAnsi="宋体"/>
          <w:sz w:val="24"/>
          <w:szCs w:val="24"/>
        </w:rPr>
        <w:t>　　3.具有温度、湿度、灰尘积累漂移补偿，传感器失效检测功能（故障上报控制器）。无极性二总线连接，安装、维护方便。</w:t>
      </w:r>
    </w:p>
    <w:p w14:paraId="345F62E4">
      <w:pPr>
        <w:spacing w:line="360" w:lineRule="auto"/>
        <w:rPr>
          <w:rFonts w:hint="eastAsia" w:ascii="宋体" w:hAnsi="宋体"/>
          <w:sz w:val="24"/>
          <w:szCs w:val="24"/>
        </w:rPr>
      </w:pPr>
      <w:r>
        <w:rPr>
          <w:rFonts w:hint="eastAsia" w:ascii="宋体" w:hAnsi="宋体"/>
          <w:sz w:val="24"/>
          <w:szCs w:val="24"/>
        </w:rPr>
        <w:t>　　4.采用上、下盖结构设计，独立底座安装，安装、调试、维护简单方便。</w:t>
      </w:r>
    </w:p>
    <w:p w14:paraId="341B6608">
      <w:pPr>
        <w:spacing w:line="360" w:lineRule="auto"/>
        <w:rPr>
          <w:rFonts w:hint="eastAsia" w:ascii="宋体" w:hAnsi="宋体"/>
          <w:sz w:val="24"/>
          <w:szCs w:val="24"/>
        </w:rPr>
      </w:pPr>
    </w:p>
    <w:p w14:paraId="69FE974F">
      <w:pPr>
        <w:spacing w:line="360" w:lineRule="auto"/>
        <w:rPr>
          <w:rFonts w:ascii="宋体" w:hAnsi="宋体"/>
          <w:b/>
          <w:bCs/>
          <w:sz w:val="24"/>
          <w:szCs w:val="24"/>
        </w:rPr>
      </w:pPr>
      <w:r>
        <w:rPr>
          <w:rFonts w:hint="eastAsia" w:ascii="宋体" w:hAnsi="宋体"/>
          <w:b/>
          <w:bCs/>
          <w:sz w:val="24"/>
          <w:szCs w:val="24"/>
          <w:lang w:eastAsia="zh-CN"/>
        </w:rPr>
        <w:t>（</w:t>
      </w:r>
      <w:r>
        <w:rPr>
          <w:rFonts w:hint="eastAsia" w:ascii="宋体" w:hAnsi="宋体"/>
          <w:b/>
          <w:bCs/>
          <w:sz w:val="24"/>
          <w:szCs w:val="24"/>
          <w:lang w:val="en-US" w:eastAsia="zh-CN"/>
        </w:rPr>
        <w:t>五）</w:t>
      </w:r>
      <w:r>
        <w:rPr>
          <w:rFonts w:hint="eastAsia" w:ascii="宋体" w:hAnsi="宋体"/>
          <w:b/>
          <w:bCs/>
          <w:sz w:val="24"/>
          <w:szCs w:val="24"/>
        </w:rPr>
        <w:t>感温探测器</w:t>
      </w:r>
    </w:p>
    <w:p w14:paraId="36539162">
      <w:pPr>
        <w:spacing w:line="360" w:lineRule="auto"/>
        <w:ind w:firstLine="480" w:firstLineChars="200"/>
        <w:rPr>
          <w:rFonts w:hint="eastAsia" w:ascii="宋体" w:hAnsi="宋体"/>
          <w:sz w:val="24"/>
          <w:szCs w:val="24"/>
        </w:rPr>
      </w:pPr>
      <w:r>
        <w:rPr>
          <w:rFonts w:hint="eastAsia" w:ascii="宋体" w:hAnsi="宋体"/>
          <w:sz w:val="24"/>
          <w:szCs w:val="24"/>
        </w:rPr>
        <w:t>工作环境 ：温度:-10℃～+50℃，相对湿度≤95%（40℃±2℃无凝露）</w:t>
      </w:r>
    </w:p>
    <w:p w14:paraId="133CF04C">
      <w:pPr>
        <w:spacing w:line="360" w:lineRule="auto"/>
        <w:ind w:firstLine="480" w:firstLineChars="200"/>
        <w:rPr>
          <w:rFonts w:ascii="宋体" w:hAnsi="宋体"/>
          <w:sz w:val="24"/>
          <w:szCs w:val="24"/>
        </w:rPr>
      </w:pPr>
      <w:r>
        <w:rPr>
          <w:rFonts w:hint="eastAsia" w:ascii="宋体" w:hAnsi="宋体"/>
          <w:sz w:val="24"/>
          <w:szCs w:val="24"/>
        </w:rPr>
        <w:t>工作电压：总线24V；DC24V；总线24V</w:t>
      </w:r>
    </w:p>
    <w:p w14:paraId="2EFD17C7">
      <w:pPr>
        <w:spacing w:line="360" w:lineRule="auto"/>
        <w:ind w:firstLine="480" w:firstLineChars="200"/>
        <w:rPr>
          <w:rFonts w:ascii="宋体" w:hAnsi="宋体"/>
          <w:sz w:val="24"/>
          <w:szCs w:val="24"/>
        </w:rPr>
      </w:pPr>
      <w:r>
        <w:rPr>
          <w:rFonts w:hint="eastAsia" w:ascii="宋体" w:hAnsi="宋体"/>
          <w:sz w:val="24"/>
          <w:szCs w:val="24"/>
        </w:rPr>
        <w:t>工作电流 ：监视状态:＜300uA报警状态:＜1.5mA；监视状态:＜50uA报警状态:＜1mA~10mA；监视状态:＜300uA报警状态:＜1.5mA</w:t>
      </w:r>
    </w:p>
    <w:p w14:paraId="3C6091E1">
      <w:pPr>
        <w:spacing w:line="360" w:lineRule="auto"/>
        <w:ind w:firstLine="480" w:firstLineChars="200"/>
        <w:rPr>
          <w:rFonts w:ascii="宋体" w:hAnsi="宋体"/>
          <w:sz w:val="24"/>
          <w:szCs w:val="24"/>
        </w:rPr>
      </w:pPr>
      <w:r>
        <w:rPr>
          <w:rFonts w:hint="eastAsia" w:ascii="宋体" w:hAnsi="宋体"/>
          <w:sz w:val="24"/>
          <w:szCs w:val="24"/>
        </w:rPr>
        <w:t>工作指示：状态指示灯,巡检时闪烁,报警时常亮</w:t>
      </w:r>
    </w:p>
    <w:p w14:paraId="6D44AC5F">
      <w:pPr>
        <w:spacing w:line="360" w:lineRule="auto"/>
        <w:ind w:firstLine="480" w:firstLineChars="200"/>
        <w:rPr>
          <w:rFonts w:ascii="宋体" w:hAnsi="宋体"/>
          <w:sz w:val="24"/>
          <w:szCs w:val="24"/>
        </w:rPr>
      </w:pPr>
      <w:r>
        <w:rPr>
          <w:rFonts w:hint="eastAsia" w:ascii="宋体" w:hAnsi="宋体"/>
          <w:sz w:val="24"/>
          <w:szCs w:val="24"/>
        </w:rPr>
        <w:t>接线方式：二线制</w:t>
      </w:r>
    </w:p>
    <w:p w14:paraId="1CFEAF92">
      <w:pPr>
        <w:spacing w:line="360" w:lineRule="auto"/>
        <w:ind w:firstLine="480" w:firstLineChars="200"/>
        <w:rPr>
          <w:rFonts w:hint="eastAsia" w:ascii="宋体" w:hAnsi="宋体"/>
          <w:sz w:val="24"/>
          <w:szCs w:val="24"/>
        </w:rPr>
      </w:pPr>
      <w:r>
        <w:rPr>
          <w:rFonts w:hint="eastAsia" w:ascii="宋体" w:hAnsi="宋体"/>
          <w:sz w:val="24"/>
          <w:szCs w:val="24"/>
        </w:rPr>
        <w:t>编码类型：电子编码型；非编码型；电子编码型</w:t>
      </w:r>
    </w:p>
    <w:p w14:paraId="78F4FEEB">
      <w:pPr>
        <w:spacing w:line="360" w:lineRule="auto"/>
        <w:ind w:firstLine="480" w:firstLineChars="200"/>
        <w:rPr>
          <w:rFonts w:hint="eastAsia" w:ascii="宋体" w:hAnsi="宋体"/>
          <w:sz w:val="24"/>
          <w:szCs w:val="24"/>
        </w:rPr>
      </w:pPr>
      <w:r>
        <w:rPr>
          <w:rFonts w:hint="eastAsia" w:ascii="宋体" w:hAnsi="宋体"/>
          <w:sz w:val="24"/>
          <w:szCs w:val="24"/>
        </w:rPr>
        <w:t>执行标准：GB4716-2005《点型感温火灾探测器》</w:t>
      </w:r>
    </w:p>
    <w:p w14:paraId="1DF06548">
      <w:pPr>
        <w:spacing w:line="360" w:lineRule="auto"/>
        <w:ind w:firstLine="480" w:firstLineChars="200"/>
        <w:rPr>
          <w:rFonts w:hint="eastAsia" w:ascii="宋体" w:hAnsi="宋体"/>
          <w:sz w:val="24"/>
          <w:szCs w:val="24"/>
        </w:rPr>
      </w:pPr>
      <w:r>
        <w:rPr>
          <w:rFonts w:hint="eastAsia" w:ascii="宋体" w:hAnsi="宋体"/>
          <w:sz w:val="24"/>
          <w:szCs w:val="24"/>
        </w:rPr>
        <w:t>1、采用国际知名厂商定制型CPU，性能稳定可靠，抗干扰能力强。</w:t>
      </w:r>
    </w:p>
    <w:p w14:paraId="04CE8166">
      <w:pPr>
        <w:spacing w:line="360" w:lineRule="auto"/>
        <w:ind w:firstLine="480" w:firstLineChars="200"/>
        <w:rPr>
          <w:rFonts w:hint="eastAsia" w:ascii="宋体" w:hAnsi="宋体"/>
          <w:sz w:val="24"/>
          <w:szCs w:val="24"/>
        </w:rPr>
      </w:pPr>
      <w:r>
        <w:rPr>
          <w:rFonts w:hint="eastAsia" w:ascii="宋体" w:hAnsi="宋体"/>
          <w:sz w:val="24"/>
          <w:szCs w:val="24"/>
        </w:rPr>
        <w:t>2、使用环氧树脂的感温元件，绝缘性更好，可靠性更高。</w:t>
      </w:r>
    </w:p>
    <w:p w14:paraId="4F09ED53">
      <w:pPr>
        <w:spacing w:line="360" w:lineRule="auto"/>
        <w:ind w:firstLine="480" w:firstLineChars="200"/>
        <w:rPr>
          <w:rFonts w:hint="eastAsia" w:ascii="宋体" w:hAnsi="宋体"/>
          <w:sz w:val="24"/>
          <w:szCs w:val="24"/>
        </w:rPr>
      </w:pPr>
      <w:r>
        <w:rPr>
          <w:rFonts w:hint="eastAsia" w:ascii="宋体" w:hAnsi="宋体"/>
          <w:sz w:val="24"/>
          <w:szCs w:val="24"/>
        </w:rPr>
        <w:t>3、定温与差温两种型号，使用范围广泛。</w:t>
      </w:r>
    </w:p>
    <w:p w14:paraId="05286941">
      <w:pPr>
        <w:spacing w:line="360" w:lineRule="auto"/>
        <w:ind w:firstLine="480" w:firstLineChars="200"/>
        <w:rPr>
          <w:rFonts w:hint="eastAsia" w:ascii="宋体" w:hAnsi="宋体"/>
          <w:sz w:val="24"/>
          <w:szCs w:val="24"/>
        </w:rPr>
      </w:pPr>
      <w:r>
        <w:rPr>
          <w:rFonts w:hint="eastAsia" w:ascii="宋体" w:hAnsi="宋体"/>
          <w:sz w:val="24"/>
          <w:szCs w:val="24"/>
        </w:rPr>
        <w:t>4、探测器的报警灵敏度在控制器中三级可调，适应不同的环境需求。</w:t>
      </w:r>
    </w:p>
    <w:p w14:paraId="6FAC396F">
      <w:pPr>
        <w:spacing w:line="360" w:lineRule="auto"/>
        <w:ind w:firstLine="480" w:firstLineChars="200"/>
        <w:rPr>
          <w:rFonts w:hint="eastAsia" w:ascii="宋体" w:hAnsi="宋体"/>
          <w:sz w:val="24"/>
          <w:szCs w:val="24"/>
        </w:rPr>
      </w:pPr>
      <w:r>
        <w:rPr>
          <w:rFonts w:hint="eastAsia" w:ascii="宋体" w:hAnsi="宋体"/>
          <w:sz w:val="24"/>
          <w:szCs w:val="24"/>
        </w:rPr>
        <w:t>5、特有的温度补偿算法设计，可提高不同升温条件下的响应能力。</w:t>
      </w:r>
    </w:p>
    <w:p w14:paraId="5C35BF86">
      <w:pPr>
        <w:spacing w:line="360" w:lineRule="auto"/>
        <w:ind w:firstLine="480" w:firstLineChars="200"/>
        <w:rPr>
          <w:rFonts w:hint="eastAsia" w:ascii="宋体" w:hAnsi="宋体"/>
          <w:sz w:val="24"/>
          <w:szCs w:val="24"/>
        </w:rPr>
      </w:pPr>
      <w:r>
        <w:rPr>
          <w:rFonts w:hint="eastAsia" w:ascii="宋体" w:hAnsi="宋体"/>
          <w:sz w:val="24"/>
          <w:szCs w:val="24"/>
        </w:rPr>
        <w:t>6、无极性二总线连接，专利火警主动上报机制，1.5秒内极速报警。</w:t>
      </w:r>
    </w:p>
    <w:p w14:paraId="769D8691">
      <w:pPr>
        <w:spacing w:line="360" w:lineRule="auto"/>
        <w:ind w:firstLine="480" w:firstLineChars="200"/>
        <w:rPr>
          <w:rFonts w:hint="eastAsia" w:ascii="宋体" w:hAnsi="宋体"/>
          <w:sz w:val="24"/>
          <w:szCs w:val="24"/>
        </w:rPr>
      </w:pPr>
      <w:r>
        <w:rPr>
          <w:rFonts w:hint="eastAsia" w:ascii="宋体" w:hAnsi="宋体"/>
          <w:sz w:val="24"/>
          <w:szCs w:val="24"/>
        </w:rPr>
        <w:t>7、底座采用全金属免剥线接线端子，防脱落螺母设计，接线简单方便。</w:t>
      </w:r>
    </w:p>
    <w:p w14:paraId="5750ABCE">
      <w:pPr>
        <w:spacing w:line="360" w:lineRule="auto"/>
        <w:ind w:firstLine="480" w:firstLineChars="200"/>
        <w:rPr>
          <w:rFonts w:ascii="宋体" w:hAnsi="宋体"/>
          <w:sz w:val="24"/>
          <w:szCs w:val="24"/>
        </w:rPr>
      </w:pPr>
      <w:r>
        <w:rPr>
          <w:rFonts w:hint="eastAsia" w:ascii="宋体" w:hAnsi="宋体"/>
          <w:sz w:val="24"/>
          <w:szCs w:val="24"/>
        </w:rPr>
        <w:t>8、底座端子采用远端对称式结构，端子背部非裸露设计，具有优良的防水浸能力。</w:t>
      </w:r>
    </w:p>
    <w:p w14:paraId="0B607F0C">
      <w:pPr>
        <w:spacing w:line="360" w:lineRule="auto"/>
        <w:rPr>
          <w:rFonts w:ascii="宋体" w:hAnsi="宋体"/>
          <w:sz w:val="24"/>
          <w:szCs w:val="24"/>
        </w:rPr>
      </w:pPr>
    </w:p>
    <w:p w14:paraId="0E695CBB">
      <w:pPr>
        <w:spacing w:line="360" w:lineRule="auto"/>
        <w:rPr>
          <w:rFonts w:ascii="宋体" w:hAnsi="宋体"/>
          <w:b/>
          <w:bCs/>
          <w:sz w:val="24"/>
          <w:szCs w:val="24"/>
        </w:rPr>
      </w:pPr>
      <w:r>
        <w:rPr>
          <w:rFonts w:hint="eastAsia" w:ascii="宋体" w:hAnsi="宋体"/>
          <w:b/>
          <w:bCs/>
          <w:sz w:val="24"/>
          <w:szCs w:val="24"/>
          <w:lang w:eastAsia="zh-CN"/>
        </w:rPr>
        <w:t>（</w:t>
      </w:r>
      <w:r>
        <w:rPr>
          <w:rFonts w:hint="eastAsia" w:ascii="宋体" w:hAnsi="宋体"/>
          <w:b/>
          <w:bCs/>
          <w:sz w:val="24"/>
          <w:szCs w:val="24"/>
          <w:lang w:val="en-US" w:eastAsia="zh-CN"/>
        </w:rPr>
        <w:t>六）</w:t>
      </w:r>
      <w:r>
        <w:rPr>
          <w:rFonts w:hint="eastAsia" w:ascii="宋体" w:hAnsi="宋体"/>
          <w:b/>
          <w:bCs/>
          <w:sz w:val="24"/>
          <w:szCs w:val="24"/>
        </w:rPr>
        <w:t>紧急启停按钮</w:t>
      </w:r>
    </w:p>
    <w:p w14:paraId="51A1BD02">
      <w:pPr>
        <w:spacing w:line="360" w:lineRule="auto"/>
        <w:rPr>
          <w:rFonts w:hint="eastAsia" w:ascii="宋体" w:hAnsi="宋体"/>
          <w:sz w:val="24"/>
          <w:szCs w:val="24"/>
        </w:rPr>
      </w:pPr>
      <w:r>
        <w:rPr>
          <w:rFonts w:hint="eastAsia" w:ascii="宋体" w:hAnsi="宋体"/>
          <w:sz w:val="24"/>
          <w:szCs w:val="24"/>
        </w:rPr>
        <w:t xml:space="preserve">    工作电压：总线24V（脉冲调制）</w:t>
      </w:r>
    </w:p>
    <w:p w14:paraId="35C4904F">
      <w:pPr>
        <w:spacing w:line="360" w:lineRule="auto"/>
        <w:ind w:firstLine="480" w:firstLineChars="200"/>
        <w:rPr>
          <w:rFonts w:hint="eastAsia" w:ascii="宋体" w:hAnsi="宋体"/>
          <w:sz w:val="24"/>
          <w:szCs w:val="24"/>
        </w:rPr>
      </w:pPr>
      <w:r>
        <w:rPr>
          <w:rFonts w:hint="eastAsia" w:ascii="宋体" w:hAnsi="宋体"/>
          <w:sz w:val="24"/>
          <w:szCs w:val="24"/>
        </w:rPr>
        <w:t>工作电流：监视电流≤ 2.5mA；动作电流&lt; 4mA;</w:t>
      </w:r>
    </w:p>
    <w:p w14:paraId="2373B48A">
      <w:pPr>
        <w:spacing w:line="360" w:lineRule="auto"/>
        <w:ind w:firstLine="480" w:firstLineChars="200"/>
        <w:rPr>
          <w:rFonts w:ascii="宋体" w:hAnsi="宋体"/>
          <w:sz w:val="24"/>
          <w:szCs w:val="24"/>
        </w:rPr>
      </w:pPr>
      <w:r>
        <w:rPr>
          <w:rFonts w:hint="eastAsia" w:ascii="宋体" w:hAnsi="宋体"/>
          <w:sz w:val="24"/>
          <w:szCs w:val="24"/>
        </w:rPr>
        <w:t>启动方式：人工按下绿色启动按钮(长按 1s)</w:t>
      </w:r>
    </w:p>
    <w:p w14:paraId="416EBD52">
      <w:pPr>
        <w:spacing w:line="360" w:lineRule="auto"/>
        <w:ind w:firstLine="480" w:firstLineChars="200"/>
        <w:rPr>
          <w:rFonts w:hint="eastAsia" w:ascii="宋体" w:hAnsi="宋体"/>
          <w:sz w:val="24"/>
          <w:szCs w:val="24"/>
        </w:rPr>
      </w:pPr>
      <w:r>
        <w:rPr>
          <w:rFonts w:hint="eastAsia" w:ascii="宋体" w:hAnsi="宋体"/>
          <w:sz w:val="24"/>
          <w:szCs w:val="24"/>
        </w:rPr>
        <w:t>使用环境：温度: -10°C~+55°C (±3°C) ，相对湿度: ≤95% (40°C±2°C 无凝露)</w:t>
      </w:r>
    </w:p>
    <w:p w14:paraId="275AC0F2">
      <w:pPr>
        <w:spacing w:line="360" w:lineRule="auto"/>
        <w:ind w:firstLine="480" w:firstLineChars="200"/>
        <w:rPr>
          <w:rFonts w:hint="eastAsia" w:ascii="宋体" w:hAnsi="宋体"/>
          <w:sz w:val="24"/>
          <w:szCs w:val="24"/>
        </w:rPr>
      </w:pPr>
      <w:r>
        <w:rPr>
          <w:rFonts w:hint="eastAsia" w:ascii="宋体" w:hAnsi="宋体"/>
          <w:sz w:val="24"/>
          <w:szCs w:val="24"/>
        </w:rPr>
        <w:t>线制：二线制，无极性信号二总线 (L1、L2)</w:t>
      </w:r>
    </w:p>
    <w:p w14:paraId="40060530">
      <w:pPr>
        <w:spacing w:line="360" w:lineRule="auto"/>
        <w:ind w:firstLine="480" w:firstLineChars="200"/>
        <w:rPr>
          <w:rFonts w:hint="eastAsia" w:ascii="宋体" w:hAnsi="宋体"/>
          <w:sz w:val="24"/>
          <w:szCs w:val="24"/>
        </w:rPr>
      </w:pPr>
      <w:r>
        <w:rPr>
          <w:rFonts w:hint="eastAsia" w:ascii="宋体" w:hAnsi="宋体"/>
          <w:sz w:val="24"/>
          <w:szCs w:val="24"/>
        </w:rPr>
        <w:t>配接主机：气体灭火控制器</w:t>
      </w:r>
    </w:p>
    <w:p w14:paraId="066B08C0">
      <w:pPr>
        <w:spacing w:line="360" w:lineRule="auto"/>
        <w:ind w:firstLine="480" w:firstLineChars="200"/>
        <w:rPr>
          <w:rFonts w:hint="eastAsia" w:ascii="宋体" w:hAnsi="宋体"/>
          <w:sz w:val="24"/>
          <w:szCs w:val="24"/>
        </w:rPr>
      </w:pPr>
      <w:r>
        <w:rPr>
          <w:rFonts w:hint="eastAsia" w:ascii="宋体" w:hAnsi="宋体"/>
          <w:sz w:val="24"/>
          <w:szCs w:val="24"/>
        </w:rPr>
        <w:t>1、同时具备紧急启动/停止和手/自动转换功能。</w:t>
      </w:r>
    </w:p>
    <w:p w14:paraId="00B29CF3">
      <w:pPr>
        <w:spacing w:line="360" w:lineRule="auto"/>
        <w:ind w:firstLine="480" w:firstLineChars="200"/>
        <w:rPr>
          <w:rFonts w:ascii="宋体" w:hAnsi="宋体"/>
          <w:sz w:val="24"/>
          <w:szCs w:val="24"/>
        </w:rPr>
      </w:pPr>
      <w:r>
        <w:rPr>
          <w:rFonts w:hint="eastAsia" w:ascii="宋体" w:hAnsi="宋体"/>
          <w:sz w:val="24"/>
          <w:szCs w:val="24"/>
        </w:rPr>
        <w:t>2、电子编码，可通过编码器现场改写。占用两个连续总线地址，第二个编码地址为第一个编码地址加 1.第一个编码地址范围可在 1~323 之间任设定。</w:t>
      </w:r>
    </w:p>
    <w:p w14:paraId="0F3C3DA8">
      <w:pPr>
        <w:spacing w:line="360" w:lineRule="auto"/>
        <w:rPr>
          <w:rFonts w:hint="eastAsia" w:ascii="宋体" w:hAnsi="宋体"/>
          <w:sz w:val="24"/>
          <w:szCs w:val="24"/>
        </w:rPr>
      </w:pPr>
    </w:p>
    <w:p w14:paraId="659214DD">
      <w:pPr>
        <w:spacing w:line="360" w:lineRule="auto"/>
        <w:rPr>
          <w:rFonts w:ascii="宋体" w:hAnsi="宋体"/>
          <w:b/>
          <w:bCs/>
          <w:sz w:val="24"/>
          <w:szCs w:val="24"/>
        </w:rPr>
      </w:pPr>
      <w:r>
        <w:rPr>
          <w:rFonts w:hint="eastAsia" w:ascii="宋体" w:hAnsi="宋体"/>
          <w:b/>
          <w:bCs/>
          <w:sz w:val="24"/>
          <w:szCs w:val="24"/>
          <w:lang w:eastAsia="zh-CN"/>
        </w:rPr>
        <w:t>（</w:t>
      </w:r>
      <w:r>
        <w:rPr>
          <w:rFonts w:hint="eastAsia" w:ascii="宋体" w:hAnsi="宋体"/>
          <w:b/>
          <w:bCs/>
          <w:sz w:val="24"/>
          <w:szCs w:val="24"/>
          <w:lang w:val="en-US" w:eastAsia="zh-CN"/>
        </w:rPr>
        <w:t>七）</w:t>
      </w:r>
      <w:r>
        <w:rPr>
          <w:rFonts w:hint="eastAsia" w:ascii="宋体" w:hAnsi="宋体"/>
          <w:b/>
          <w:bCs/>
          <w:sz w:val="24"/>
          <w:szCs w:val="24"/>
        </w:rPr>
        <w:t>放气指示灯</w:t>
      </w:r>
    </w:p>
    <w:p w14:paraId="06905E61">
      <w:pPr>
        <w:spacing w:line="360" w:lineRule="auto"/>
        <w:ind w:firstLine="480" w:firstLineChars="200"/>
        <w:rPr>
          <w:rFonts w:hint="eastAsia" w:ascii="宋体" w:hAnsi="宋体"/>
          <w:sz w:val="24"/>
          <w:szCs w:val="24"/>
        </w:rPr>
      </w:pPr>
      <w:r>
        <w:rPr>
          <w:rFonts w:hint="eastAsia" w:ascii="宋体" w:hAnsi="宋体"/>
          <w:sz w:val="24"/>
          <w:szCs w:val="24"/>
        </w:rPr>
        <w:t>工作环境 ：温度:-10℃～+55℃，相对湿度≤95%（40℃±2℃无凝露）</w:t>
      </w:r>
    </w:p>
    <w:p w14:paraId="0B1F9362">
      <w:pPr>
        <w:spacing w:line="360" w:lineRule="auto"/>
        <w:ind w:firstLine="480" w:firstLineChars="200"/>
        <w:rPr>
          <w:rFonts w:hint="eastAsia" w:ascii="宋体" w:hAnsi="宋体"/>
          <w:sz w:val="24"/>
          <w:szCs w:val="24"/>
        </w:rPr>
      </w:pPr>
      <w:r>
        <w:rPr>
          <w:rFonts w:hint="eastAsia" w:ascii="宋体" w:hAnsi="宋体"/>
          <w:sz w:val="24"/>
          <w:szCs w:val="24"/>
        </w:rPr>
        <w:t>工作电压：DC24V±20%</w:t>
      </w:r>
    </w:p>
    <w:p w14:paraId="7F6BE6DE">
      <w:pPr>
        <w:spacing w:line="360" w:lineRule="auto"/>
        <w:ind w:firstLine="480" w:firstLineChars="200"/>
        <w:rPr>
          <w:rFonts w:hint="eastAsia" w:ascii="宋体" w:hAnsi="宋体"/>
          <w:sz w:val="24"/>
          <w:szCs w:val="24"/>
        </w:rPr>
      </w:pPr>
      <w:r>
        <w:rPr>
          <w:rFonts w:hint="eastAsia" w:ascii="宋体" w:hAnsi="宋体"/>
          <w:sz w:val="24"/>
          <w:szCs w:val="24"/>
        </w:rPr>
        <w:t>工作电流：≤120mA</w:t>
      </w:r>
    </w:p>
    <w:p w14:paraId="19E7C3E1">
      <w:pPr>
        <w:spacing w:line="360" w:lineRule="auto"/>
        <w:ind w:firstLine="480" w:firstLineChars="200"/>
        <w:rPr>
          <w:rFonts w:ascii="宋体" w:hAnsi="宋体"/>
          <w:sz w:val="24"/>
          <w:szCs w:val="24"/>
        </w:rPr>
      </w:pPr>
      <w:r>
        <w:rPr>
          <w:rFonts w:hint="eastAsia" w:ascii="宋体" w:hAnsi="宋体"/>
          <w:sz w:val="24"/>
          <w:szCs w:val="24"/>
        </w:rPr>
        <w:t>接线方式 ：四线制:信号线+电源线</w:t>
      </w:r>
    </w:p>
    <w:p w14:paraId="0EBCECC0">
      <w:pPr>
        <w:spacing w:line="360" w:lineRule="auto"/>
        <w:ind w:firstLine="480" w:firstLineChars="200"/>
        <w:rPr>
          <w:rFonts w:ascii="宋体" w:hAnsi="宋体"/>
          <w:sz w:val="24"/>
          <w:szCs w:val="24"/>
        </w:rPr>
      </w:pPr>
      <w:r>
        <w:rPr>
          <w:rFonts w:hint="eastAsia" w:ascii="宋体" w:hAnsi="宋体"/>
          <w:sz w:val="24"/>
          <w:szCs w:val="24"/>
        </w:rPr>
        <w:t>安装位置：底边距门楣高0.2m处，墙面明装</w:t>
      </w:r>
    </w:p>
    <w:p w14:paraId="172F5A56">
      <w:pPr>
        <w:spacing w:line="360" w:lineRule="auto"/>
        <w:ind w:firstLine="480" w:firstLineChars="200"/>
        <w:rPr>
          <w:rFonts w:hint="eastAsia" w:ascii="宋体" w:hAnsi="宋体"/>
          <w:sz w:val="24"/>
          <w:szCs w:val="24"/>
        </w:rPr>
      </w:pPr>
      <w:r>
        <w:rPr>
          <w:rFonts w:hint="eastAsia" w:ascii="宋体" w:hAnsi="宋体"/>
          <w:sz w:val="24"/>
          <w:szCs w:val="24"/>
        </w:rPr>
        <w:t>编码类型：电子编码型</w:t>
      </w:r>
    </w:p>
    <w:p w14:paraId="00D40FF3">
      <w:pPr>
        <w:spacing w:line="360" w:lineRule="auto"/>
        <w:ind w:firstLine="480" w:firstLineChars="200"/>
        <w:rPr>
          <w:rFonts w:ascii="宋体" w:hAnsi="宋体"/>
          <w:sz w:val="24"/>
          <w:szCs w:val="24"/>
        </w:rPr>
      </w:pPr>
      <w:r>
        <w:rPr>
          <w:rFonts w:hint="eastAsia" w:ascii="宋体" w:hAnsi="宋体"/>
          <w:sz w:val="24"/>
          <w:szCs w:val="24"/>
        </w:rPr>
        <w:t>执行标准：GB26851-2011《火灾声和/或光警报器》</w:t>
      </w:r>
    </w:p>
    <w:p w14:paraId="2568F573">
      <w:pPr>
        <w:spacing w:line="360" w:lineRule="auto"/>
        <w:ind w:firstLine="480" w:firstLineChars="200"/>
        <w:rPr>
          <w:rFonts w:hint="eastAsia" w:ascii="宋体" w:hAnsi="宋体"/>
          <w:sz w:val="24"/>
          <w:szCs w:val="24"/>
        </w:rPr>
      </w:pPr>
      <w:r>
        <w:rPr>
          <w:rFonts w:hint="eastAsia" w:ascii="宋体" w:hAnsi="宋体"/>
          <w:sz w:val="24"/>
          <w:szCs w:val="24"/>
        </w:rPr>
        <w:t>1、无极性信号二总线，方便施工布线，避免接线错误。</w:t>
      </w:r>
    </w:p>
    <w:p w14:paraId="47D4F89B">
      <w:pPr>
        <w:spacing w:line="360" w:lineRule="auto"/>
        <w:ind w:firstLine="480" w:firstLineChars="200"/>
        <w:rPr>
          <w:rFonts w:hint="eastAsia" w:ascii="宋体" w:hAnsi="宋体"/>
          <w:sz w:val="24"/>
          <w:szCs w:val="24"/>
        </w:rPr>
      </w:pPr>
      <w:r>
        <w:rPr>
          <w:rFonts w:hint="eastAsia" w:ascii="宋体" w:hAnsi="宋体"/>
          <w:sz w:val="24"/>
          <w:szCs w:val="24"/>
        </w:rPr>
        <w:t>2、采用多只超高亮红色发光二极管作为光源,显示醒目、寿命长、功耗低。</w:t>
      </w:r>
    </w:p>
    <w:p w14:paraId="6A16F49A">
      <w:pPr>
        <w:spacing w:line="360" w:lineRule="auto"/>
        <w:ind w:firstLine="480" w:firstLineChars="200"/>
        <w:rPr>
          <w:rFonts w:hint="eastAsia" w:ascii="宋体" w:hAnsi="宋体"/>
          <w:sz w:val="24"/>
          <w:szCs w:val="24"/>
        </w:rPr>
      </w:pPr>
      <w:r>
        <w:rPr>
          <w:rFonts w:hint="eastAsia" w:ascii="宋体" w:hAnsi="宋体"/>
          <w:sz w:val="24"/>
          <w:szCs w:val="24"/>
        </w:rPr>
        <w:t>3、采用上下盖结构设计，安装、调试、维护简单方便。</w:t>
      </w:r>
    </w:p>
    <w:p w14:paraId="7C6DC5E9">
      <w:pPr>
        <w:spacing w:line="360" w:lineRule="auto"/>
        <w:ind w:firstLine="480" w:firstLineChars="200"/>
        <w:rPr>
          <w:rFonts w:hint="eastAsia" w:ascii="宋体" w:hAnsi="宋体"/>
          <w:sz w:val="24"/>
          <w:szCs w:val="24"/>
        </w:rPr>
      </w:pPr>
      <w:r>
        <w:rPr>
          <w:rFonts w:hint="eastAsia" w:ascii="宋体" w:hAnsi="宋体"/>
          <w:sz w:val="24"/>
          <w:szCs w:val="24"/>
        </w:rPr>
        <w:t>4、采用MCU控制闪光及声音报警驱动，稳定可靠。</w:t>
      </w:r>
    </w:p>
    <w:p w14:paraId="680E3DEA">
      <w:pPr>
        <w:spacing w:line="360" w:lineRule="auto"/>
        <w:rPr>
          <w:rFonts w:ascii="宋体" w:hAnsi="宋体"/>
          <w:sz w:val="24"/>
          <w:szCs w:val="24"/>
        </w:rPr>
      </w:pPr>
      <w:r>
        <w:rPr>
          <w:rFonts w:hint="eastAsia" w:ascii="宋体" w:hAnsi="宋体"/>
          <w:sz w:val="24"/>
          <w:szCs w:val="24"/>
        </w:rPr>
        <w:t>5、在气体释放前发出灯光指示,并且指示灯面板有中文警告标志,提醒现场人员不要进入气体灭火保护区。</w:t>
      </w:r>
    </w:p>
    <w:p w14:paraId="5EC9C326">
      <w:pPr>
        <w:spacing w:line="360" w:lineRule="auto"/>
        <w:rPr>
          <w:rFonts w:ascii="宋体" w:hAnsi="宋体"/>
          <w:sz w:val="24"/>
          <w:szCs w:val="24"/>
        </w:rPr>
      </w:pPr>
    </w:p>
    <w:p w14:paraId="4A1F7A23">
      <w:pPr>
        <w:spacing w:line="360" w:lineRule="auto"/>
        <w:rPr>
          <w:rFonts w:ascii="宋体" w:hAnsi="宋体"/>
          <w:b/>
          <w:bCs/>
          <w:sz w:val="24"/>
          <w:szCs w:val="24"/>
        </w:rPr>
      </w:pPr>
      <w:r>
        <w:rPr>
          <w:rFonts w:hint="eastAsia" w:ascii="宋体" w:hAnsi="宋体"/>
          <w:b/>
          <w:bCs/>
          <w:sz w:val="24"/>
          <w:szCs w:val="24"/>
          <w:lang w:eastAsia="zh-CN"/>
        </w:rPr>
        <w:t>（</w:t>
      </w:r>
      <w:r>
        <w:rPr>
          <w:rFonts w:hint="eastAsia" w:ascii="宋体" w:hAnsi="宋体"/>
          <w:b/>
          <w:bCs/>
          <w:sz w:val="24"/>
          <w:szCs w:val="24"/>
          <w:lang w:val="en-US" w:eastAsia="zh-CN"/>
        </w:rPr>
        <w:t>八）</w:t>
      </w:r>
      <w:r>
        <w:rPr>
          <w:rFonts w:hint="eastAsia" w:ascii="宋体" w:hAnsi="宋体"/>
          <w:b/>
          <w:bCs/>
          <w:sz w:val="24"/>
          <w:szCs w:val="24"/>
        </w:rPr>
        <w:t>声光报警器</w:t>
      </w:r>
    </w:p>
    <w:p w14:paraId="376C7682">
      <w:pPr>
        <w:spacing w:line="360" w:lineRule="auto"/>
        <w:rPr>
          <w:rFonts w:hint="eastAsia" w:ascii="宋体" w:hAnsi="宋体"/>
          <w:sz w:val="24"/>
          <w:szCs w:val="24"/>
        </w:rPr>
      </w:pPr>
      <w:r>
        <w:rPr>
          <w:rFonts w:hint="eastAsia" w:ascii="宋体" w:hAnsi="宋体"/>
          <w:sz w:val="24"/>
          <w:szCs w:val="24"/>
        </w:rPr>
        <w:t xml:space="preserve">    闪光频率：1Hz~1.5Hz</w:t>
      </w:r>
    </w:p>
    <w:p w14:paraId="76EBEAFF">
      <w:pPr>
        <w:spacing w:line="360" w:lineRule="auto"/>
        <w:ind w:firstLine="480" w:firstLineChars="200"/>
        <w:rPr>
          <w:rFonts w:hint="eastAsia" w:ascii="宋体" w:hAnsi="宋体"/>
          <w:sz w:val="24"/>
          <w:szCs w:val="24"/>
        </w:rPr>
      </w:pPr>
      <w:r>
        <w:rPr>
          <w:rFonts w:hint="eastAsia" w:ascii="宋体" w:hAnsi="宋体"/>
          <w:sz w:val="24"/>
          <w:szCs w:val="24"/>
        </w:rPr>
        <w:t>报警音量：80dB~100dB</w:t>
      </w:r>
    </w:p>
    <w:p w14:paraId="3101E3DE">
      <w:pPr>
        <w:spacing w:line="360" w:lineRule="auto"/>
        <w:ind w:firstLine="480" w:firstLineChars="200"/>
        <w:rPr>
          <w:rFonts w:hint="eastAsia" w:ascii="宋体" w:hAnsi="宋体"/>
          <w:sz w:val="24"/>
          <w:szCs w:val="24"/>
        </w:rPr>
      </w:pPr>
      <w:r>
        <w:rPr>
          <w:rFonts w:hint="eastAsia" w:ascii="宋体" w:hAnsi="宋体"/>
          <w:sz w:val="24"/>
          <w:szCs w:val="24"/>
        </w:rPr>
        <w:t>工作环境 ：温度:-10℃～+50℃，相对湿度≤95%（40℃无凝露）</w:t>
      </w:r>
    </w:p>
    <w:p w14:paraId="13A297EF">
      <w:pPr>
        <w:spacing w:line="360" w:lineRule="auto"/>
        <w:ind w:firstLine="480" w:firstLineChars="200"/>
        <w:rPr>
          <w:rFonts w:hint="eastAsia" w:ascii="宋体" w:hAnsi="宋体"/>
          <w:sz w:val="24"/>
          <w:szCs w:val="24"/>
        </w:rPr>
      </w:pPr>
      <w:r>
        <w:rPr>
          <w:rFonts w:hint="eastAsia" w:ascii="宋体" w:hAnsi="宋体"/>
          <w:sz w:val="24"/>
          <w:szCs w:val="24"/>
        </w:rPr>
        <w:t>工作电压：总线24V</w:t>
      </w:r>
    </w:p>
    <w:p w14:paraId="521B9E6F">
      <w:pPr>
        <w:spacing w:line="360" w:lineRule="auto"/>
        <w:ind w:firstLine="480" w:firstLineChars="200"/>
        <w:rPr>
          <w:rFonts w:hint="eastAsia" w:ascii="宋体" w:hAnsi="宋体"/>
          <w:sz w:val="24"/>
          <w:szCs w:val="24"/>
        </w:rPr>
      </w:pPr>
      <w:r>
        <w:rPr>
          <w:rFonts w:hint="eastAsia" w:ascii="宋体" w:hAnsi="宋体"/>
          <w:sz w:val="24"/>
          <w:szCs w:val="24"/>
        </w:rPr>
        <w:t>工作电流：静态电流:≤1mA ， 报警电流:≤8mA</w:t>
      </w:r>
    </w:p>
    <w:p w14:paraId="1637282B">
      <w:pPr>
        <w:spacing w:line="360" w:lineRule="auto"/>
        <w:ind w:firstLine="480" w:firstLineChars="200"/>
        <w:rPr>
          <w:rFonts w:hint="eastAsia" w:ascii="宋体" w:hAnsi="宋体"/>
          <w:sz w:val="24"/>
          <w:szCs w:val="24"/>
        </w:rPr>
      </w:pPr>
      <w:r>
        <w:rPr>
          <w:rFonts w:hint="eastAsia" w:ascii="宋体" w:hAnsi="宋体"/>
          <w:sz w:val="24"/>
          <w:szCs w:val="24"/>
        </w:rPr>
        <w:t>接线方式 ：二线制</w:t>
      </w:r>
    </w:p>
    <w:p w14:paraId="0676F8DC">
      <w:pPr>
        <w:spacing w:line="360" w:lineRule="auto"/>
        <w:ind w:firstLine="480" w:firstLineChars="200"/>
        <w:rPr>
          <w:rFonts w:hint="eastAsia" w:ascii="宋体" w:hAnsi="宋体"/>
          <w:sz w:val="24"/>
          <w:szCs w:val="24"/>
        </w:rPr>
      </w:pPr>
      <w:r>
        <w:rPr>
          <w:rFonts w:hint="eastAsia" w:ascii="宋体" w:hAnsi="宋体"/>
          <w:sz w:val="24"/>
          <w:szCs w:val="24"/>
        </w:rPr>
        <w:t>编码类型：电子编码型</w:t>
      </w:r>
    </w:p>
    <w:p w14:paraId="4EA7A0B0">
      <w:pPr>
        <w:spacing w:line="360" w:lineRule="auto"/>
        <w:ind w:firstLine="480" w:firstLineChars="200"/>
        <w:rPr>
          <w:rFonts w:hint="eastAsia" w:ascii="宋体" w:hAnsi="宋体"/>
          <w:sz w:val="24"/>
          <w:szCs w:val="24"/>
        </w:rPr>
      </w:pPr>
      <w:r>
        <w:rPr>
          <w:rFonts w:hint="eastAsia" w:ascii="宋体" w:hAnsi="宋体"/>
          <w:sz w:val="24"/>
          <w:szCs w:val="24"/>
        </w:rPr>
        <w:t>执行标准 ：GB26851-2011《火灾声和/或光报警器》</w:t>
      </w:r>
    </w:p>
    <w:p w14:paraId="0635B711">
      <w:pPr>
        <w:spacing w:line="360" w:lineRule="auto"/>
        <w:ind w:firstLine="480" w:firstLineChars="200"/>
        <w:rPr>
          <w:rFonts w:hint="eastAsia" w:ascii="宋体" w:hAnsi="宋体"/>
          <w:sz w:val="24"/>
          <w:szCs w:val="24"/>
        </w:rPr>
      </w:pPr>
      <w:r>
        <w:rPr>
          <w:rFonts w:hint="eastAsia" w:ascii="宋体" w:hAnsi="宋体"/>
          <w:sz w:val="24"/>
          <w:szCs w:val="24"/>
        </w:rPr>
        <w:t>1.全电子编码，地址号码及工作模式均可通过编码器现场改写，通过编码器可设置为普通型声光警报器。</w:t>
      </w:r>
    </w:p>
    <w:p w14:paraId="2ED2E356">
      <w:pPr>
        <w:spacing w:line="360" w:lineRule="auto"/>
        <w:ind w:firstLine="480" w:firstLineChars="200"/>
        <w:rPr>
          <w:rFonts w:hint="eastAsia" w:ascii="宋体" w:hAnsi="宋体"/>
          <w:sz w:val="24"/>
          <w:szCs w:val="24"/>
        </w:rPr>
      </w:pPr>
      <w:r>
        <w:rPr>
          <w:rFonts w:hint="eastAsia" w:ascii="宋体" w:hAnsi="宋体"/>
          <w:sz w:val="24"/>
          <w:szCs w:val="24"/>
        </w:rPr>
        <w:t>2.声光警报工作模式自由设置，可声与光同时报警，也可声或光独立报警，适应于不同的工作环境。</w:t>
      </w:r>
    </w:p>
    <w:p w14:paraId="7C041AC6">
      <w:pPr>
        <w:spacing w:line="360" w:lineRule="auto"/>
        <w:ind w:firstLine="480" w:firstLineChars="200"/>
        <w:rPr>
          <w:rFonts w:hint="eastAsia" w:ascii="宋体" w:hAnsi="宋体"/>
          <w:sz w:val="24"/>
          <w:szCs w:val="24"/>
        </w:rPr>
      </w:pPr>
      <w:r>
        <w:rPr>
          <w:rFonts w:hint="eastAsia" w:ascii="宋体" w:hAnsi="宋体"/>
          <w:sz w:val="24"/>
          <w:szCs w:val="24"/>
        </w:rPr>
        <w:t>3.采用独立底座，安装、调试、维护简单方便。</w:t>
      </w:r>
    </w:p>
    <w:p w14:paraId="082CE18E">
      <w:pPr>
        <w:spacing w:line="360" w:lineRule="auto"/>
        <w:ind w:firstLine="480" w:firstLineChars="200"/>
        <w:rPr>
          <w:rFonts w:hint="eastAsia" w:ascii="宋体" w:hAnsi="宋体"/>
          <w:sz w:val="24"/>
          <w:szCs w:val="24"/>
        </w:rPr>
      </w:pPr>
      <w:r>
        <w:rPr>
          <w:rFonts w:hint="eastAsia" w:ascii="宋体" w:hAnsi="宋体"/>
          <w:sz w:val="24"/>
          <w:szCs w:val="24"/>
        </w:rPr>
        <w:t>4.光显示采用多只超高亮白色发光二极管作为光源，显示醒目、寿命长、功耗低。</w:t>
      </w:r>
    </w:p>
    <w:p w14:paraId="4B4A1F76">
      <w:pPr>
        <w:spacing w:line="360" w:lineRule="auto"/>
        <w:ind w:firstLine="480" w:firstLineChars="200"/>
        <w:rPr>
          <w:rFonts w:hint="eastAsia" w:ascii="宋体" w:hAnsi="宋体"/>
          <w:sz w:val="24"/>
          <w:szCs w:val="24"/>
        </w:rPr>
      </w:pPr>
      <w:r>
        <w:rPr>
          <w:rFonts w:hint="eastAsia" w:ascii="宋体" w:hAnsi="宋体"/>
          <w:sz w:val="24"/>
          <w:szCs w:val="24"/>
        </w:rPr>
        <w:t>5.可实现防拆功能</w:t>
      </w:r>
    </w:p>
    <w:p w14:paraId="2572C313">
      <w:pPr>
        <w:spacing w:line="360" w:lineRule="auto"/>
        <w:ind w:firstLine="480" w:firstLineChars="200"/>
        <w:rPr>
          <w:rFonts w:hint="eastAsia" w:ascii="宋体" w:hAnsi="宋体"/>
          <w:sz w:val="24"/>
          <w:szCs w:val="24"/>
        </w:rPr>
      </w:pPr>
    </w:p>
    <w:p w14:paraId="60659C0F">
      <w:pPr>
        <w:keepNext w:val="0"/>
        <w:keepLines w:val="0"/>
        <w:widowControl w:val="0"/>
        <w:numPr>
          <w:ilvl w:val="0"/>
          <w:numId w:val="2"/>
        </w:numPr>
        <w:suppressLineNumbers w:val="0"/>
        <w:spacing w:before="0" w:beforeAutospacing="0" w:after="0" w:afterAutospacing="0" w:line="360" w:lineRule="auto"/>
        <w:ind w:left="0" w:leftChars="0" w:right="0" w:firstLine="0" w:firstLineChars="0"/>
        <w:jc w:val="both"/>
        <w:rPr>
          <w:rFonts w:hint="eastAsia" w:ascii="宋体" w:hAnsi="宋体" w:eastAsia="宋体" w:cs="宋体"/>
          <w:b/>
          <w:bCs w:val="0"/>
          <w:kern w:val="2"/>
          <w:sz w:val="28"/>
          <w:szCs w:val="28"/>
          <w:lang w:val="en-US" w:eastAsia="zh-CN" w:bidi="ar"/>
        </w:rPr>
      </w:pPr>
      <w:r>
        <w:rPr>
          <w:rFonts w:hint="eastAsia" w:ascii="宋体" w:hAnsi="宋体" w:eastAsia="宋体" w:cs="宋体"/>
          <w:b/>
          <w:bCs w:val="0"/>
          <w:kern w:val="2"/>
          <w:sz w:val="28"/>
          <w:szCs w:val="28"/>
          <w:lang w:val="en-US" w:eastAsia="zh-CN" w:bidi="ar"/>
        </w:rPr>
        <w:t>项目施工及验收等技术要求</w:t>
      </w:r>
    </w:p>
    <w:p w14:paraId="40763914">
      <w:pPr>
        <w:spacing w:line="360" w:lineRule="auto"/>
        <w:ind w:firstLine="482" w:firstLineChars="200"/>
        <w:jc w:val="left"/>
        <w:outlineLvl w:val="1"/>
        <w:rPr>
          <w:rFonts w:hint="eastAsia" w:ascii="宋体" w:hAnsi="宋体" w:cs="宋体"/>
          <w:b/>
          <w:sz w:val="24"/>
          <w:szCs w:val="24"/>
        </w:rPr>
      </w:pPr>
      <w:r>
        <w:rPr>
          <w:rFonts w:hint="eastAsia" w:ascii="宋体" w:hAnsi="宋体" w:cs="宋体"/>
          <w:b/>
          <w:sz w:val="24"/>
          <w:szCs w:val="24"/>
        </w:rPr>
        <w:t>（一）报价基本要求</w:t>
      </w:r>
    </w:p>
    <w:p w14:paraId="229FA5B5">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1. 工程报价应包括招标文件中规定完成本项目工程内容的全部费用，包括分部分项工程费用、措施项目费、其他项目费和规费、税金等。</w:t>
      </w:r>
    </w:p>
    <w:p w14:paraId="4B85749D">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2. 人工、材料、设备价格按广州市建设工程造价管理站公布的同期《广州地区建设工程常用材料综合价》计入，同期《广州地区建设工程常用材料综合价》没有的价格按照广州市现行市场材料、设备价格计入。</w:t>
      </w:r>
    </w:p>
    <w:p w14:paraId="562B89AE">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3. 投标人的报价，应是按照工期要求，在投标文件所列的建设地点，完成包括招标文件、工程量清单、图纸和技术说明范围内所有内容的全部费用，包括但不限于完成工作的成本、利润、税金、技术措施费、大型机械进出场费、风险费以及政策性文件规定费用等，不得以任何理由予以重复计算。</w:t>
      </w:r>
    </w:p>
    <w:p w14:paraId="5297B1D1">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4. 凡工程量清单成交有数量的每个项目均须填入单价和合价，每一项目只允许有一个报价。任何有选择的报价将不予接受。投标人未填报单价或合价的工程项目，视为完成该项目所需要费用已包含在其它有价款的竞争性报价内，在实施后，采购人将不予支付。</w:t>
      </w:r>
    </w:p>
    <w:p w14:paraId="3C01FCFA">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5. 措施项目费由投标人根据工程的实际情况和施工组织设计的要求，发生于该工程施工前和施工过程中技术、生活、安全等方面的费用，并按综合单价计价。</w:t>
      </w:r>
    </w:p>
    <w:p w14:paraId="41EF023C">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6. 安全生产措施费管理执行《广州市建筑工程安全生产措施费管理办法》，计入投标总价。</w:t>
      </w:r>
    </w:p>
    <w:p w14:paraId="60821CC8">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7. 工程项目特征未明确的均应符合本项目现场要求、用户需求书及《投标文件》的技术规格书的技术要求。项目的工程内容除另有注明外，均按完成该项目的所有工作内容，包括原有项目的拆除、材料及设备的采购、运输、保管、进场检验、安装、调试、维护保修等相关服务。</w:t>
      </w:r>
    </w:p>
    <w:p w14:paraId="32D794D4">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8. 材料的场内运输、装卸、吊装费用，应在报价中综合考虑，其他材料的</w:t>
      </w:r>
      <w:r>
        <w:rPr>
          <w:rFonts w:hint="eastAsia" w:ascii="宋体" w:hAnsi="宋体" w:cs="宋体"/>
          <w:sz w:val="24"/>
          <w:szCs w:val="24"/>
          <w:lang w:eastAsia="zh-CN"/>
        </w:rPr>
        <w:t>三次</w:t>
      </w:r>
      <w:r>
        <w:rPr>
          <w:rFonts w:hint="eastAsia" w:ascii="宋体" w:hAnsi="宋体" w:cs="宋体"/>
          <w:sz w:val="24"/>
          <w:szCs w:val="24"/>
        </w:rPr>
        <w:t>搬运费用列入措施清单项目。</w:t>
      </w:r>
    </w:p>
    <w:p w14:paraId="6D57DCDC">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9. 必须响应招标文件，对接受招标文件关于材料采购、报价、工程量、工期、质 量、结算等方面作出承诺。</w:t>
      </w:r>
    </w:p>
    <w:p w14:paraId="3B267788">
      <w:pPr>
        <w:spacing w:line="360" w:lineRule="auto"/>
        <w:ind w:firstLine="241" w:firstLineChars="100"/>
        <w:jc w:val="left"/>
        <w:rPr>
          <w:rFonts w:hint="eastAsia" w:ascii="宋体" w:hAnsi="宋体" w:cs="仿宋_GB2312"/>
          <w:b/>
          <w:sz w:val="24"/>
          <w:szCs w:val="24"/>
        </w:rPr>
      </w:pPr>
      <w:r>
        <w:rPr>
          <w:rFonts w:hint="eastAsia" w:ascii="宋体" w:hAnsi="宋体" w:cs="仿宋_GB2312"/>
          <w:b/>
          <w:sz w:val="24"/>
          <w:szCs w:val="24"/>
        </w:rPr>
        <w:t xml:space="preserve"> </w:t>
      </w:r>
    </w:p>
    <w:p w14:paraId="52BBEBD6">
      <w:pPr>
        <w:spacing w:line="360" w:lineRule="auto"/>
        <w:ind w:firstLine="241" w:firstLineChars="100"/>
        <w:jc w:val="left"/>
        <w:rPr>
          <w:rFonts w:hint="eastAsia" w:ascii="宋体" w:hAnsi="宋体" w:cs="仿宋_GB2312"/>
          <w:b/>
          <w:sz w:val="24"/>
          <w:szCs w:val="24"/>
        </w:rPr>
      </w:pPr>
      <w:r>
        <w:rPr>
          <w:rFonts w:hint="eastAsia" w:ascii="宋体" w:hAnsi="宋体" w:cs="仿宋_GB2312"/>
          <w:b/>
          <w:sz w:val="24"/>
          <w:szCs w:val="24"/>
        </w:rPr>
        <w:t>（二）项目设计施工图要求</w:t>
      </w:r>
    </w:p>
    <w:p w14:paraId="1A8F7496">
      <w:pPr>
        <w:spacing w:line="360" w:lineRule="auto"/>
        <w:ind w:firstLine="480" w:firstLineChars="200"/>
        <w:jc w:val="left"/>
        <w:rPr>
          <w:rFonts w:hint="eastAsia" w:ascii="宋体" w:hAnsi="宋体" w:cs="仿宋_GB2312"/>
          <w:sz w:val="24"/>
          <w:szCs w:val="24"/>
        </w:rPr>
      </w:pPr>
      <w:r>
        <w:rPr>
          <w:rFonts w:hint="eastAsia" w:ascii="宋体" w:hAnsi="宋体" w:cs="仿宋_GB2312"/>
          <w:sz w:val="24"/>
          <w:szCs w:val="24"/>
        </w:rPr>
        <w:t>1、中标单位在施工前，必须对施工区域做全面的勘查，根据勘查结果绘制切实可行的设计图，并需经校方确认。</w:t>
      </w:r>
    </w:p>
    <w:p w14:paraId="732D5CA9">
      <w:pPr>
        <w:spacing w:line="360" w:lineRule="auto"/>
        <w:ind w:firstLine="495"/>
        <w:jc w:val="left"/>
        <w:rPr>
          <w:rFonts w:hint="eastAsia" w:ascii="宋体" w:hAnsi="宋体" w:cs="仿宋_GB2312"/>
          <w:sz w:val="24"/>
          <w:szCs w:val="24"/>
        </w:rPr>
      </w:pPr>
      <w:r>
        <w:rPr>
          <w:rFonts w:hint="eastAsia" w:ascii="宋体" w:hAnsi="宋体" w:cs="仿宋_GB2312"/>
          <w:sz w:val="24"/>
          <w:szCs w:val="24"/>
        </w:rPr>
        <w:t>2、项目实施过程中发生的设计变更，也需中标单位绘制变更图并经校方确认。</w:t>
      </w:r>
    </w:p>
    <w:p w14:paraId="3A238DEE">
      <w:pPr>
        <w:spacing w:line="360" w:lineRule="auto"/>
        <w:ind w:firstLine="495"/>
        <w:jc w:val="left"/>
        <w:rPr>
          <w:rFonts w:hint="eastAsia" w:ascii="宋体" w:hAnsi="宋体" w:cs="仿宋_GB2312"/>
          <w:sz w:val="24"/>
          <w:szCs w:val="24"/>
        </w:rPr>
      </w:pPr>
    </w:p>
    <w:p w14:paraId="50DAF386">
      <w:pPr>
        <w:spacing w:line="360" w:lineRule="auto"/>
        <w:ind w:firstLine="482" w:firstLineChars="200"/>
        <w:outlineLvl w:val="1"/>
        <w:rPr>
          <w:rFonts w:hint="eastAsia" w:ascii="宋体" w:hAnsi="宋体" w:cs="宋体"/>
          <w:b/>
          <w:sz w:val="24"/>
          <w:szCs w:val="24"/>
        </w:rPr>
      </w:pPr>
      <w:r>
        <w:rPr>
          <w:rFonts w:hint="eastAsia" w:ascii="宋体" w:hAnsi="宋体" w:cs="宋体"/>
          <w:b/>
          <w:sz w:val="24"/>
          <w:szCs w:val="24"/>
        </w:rPr>
        <w:t>（三）项目管理要求</w:t>
      </w:r>
    </w:p>
    <w:p w14:paraId="20FEB11E">
      <w:pPr>
        <w:spacing w:line="360" w:lineRule="auto"/>
        <w:ind w:firstLine="480" w:firstLineChars="200"/>
        <w:rPr>
          <w:rFonts w:hint="eastAsia" w:ascii="宋体" w:hAnsi="宋体" w:cs="宋体"/>
          <w:sz w:val="24"/>
          <w:szCs w:val="24"/>
        </w:rPr>
      </w:pPr>
      <w:r>
        <w:rPr>
          <w:rFonts w:hint="eastAsia" w:ascii="宋体" w:hAnsi="宋体" w:cs="宋体"/>
          <w:sz w:val="24"/>
          <w:szCs w:val="24"/>
        </w:rPr>
        <w:t>1. 在项目整个施工期间必须严格遵守学院的相关规章制度，施工人员佩带施工单位配发的专门工作证，自觉接受检查，无证人员一律不得进入施工现场。施工人员不得在施工现场留宿，施工人员未经批准不得进入其他区域。</w:t>
      </w:r>
    </w:p>
    <w:p w14:paraId="436A51DD">
      <w:pPr>
        <w:spacing w:line="360" w:lineRule="auto"/>
        <w:ind w:firstLine="480" w:firstLineChars="200"/>
        <w:rPr>
          <w:rFonts w:hint="eastAsia" w:ascii="宋体" w:hAnsi="宋体" w:cs="宋体"/>
          <w:sz w:val="24"/>
          <w:szCs w:val="24"/>
        </w:rPr>
      </w:pPr>
      <w:r>
        <w:rPr>
          <w:rFonts w:hint="eastAsia" w:ascii="宋体" w:hAnsi="宋体" w:cs="宋体"/>
          <w:sz w:val="24"/>
          <w:szCs w:val="24"/>
        </w:rPr>
        <w:t>2. 必须遵守学院、现场和人员管理的相关规定，安全生产，文明施工。</w:t>
      </w:r>
    </w:p>
    <w:p w14:paraId="4C31A7B1">
      <w:pPr>
        <w:spacing w:line="360" w:lineRule="auto"/>
        <w:ind w:firstLine="480" w:firstLineChars="200"/>
        <w:rPr>
          <w:rFonts w:hint="eastAsia" w:ascii="宋体" w:hAnsi="宋体" w:cs="宋体"/>
          <w:sz w:val="24"/>
          <w:szCs w:val="24"/>
        </w:rPr>
      </w:pPr>
      <w:r>
        <w:rPr>
          <w:rFonts w:hint="eastAsia" w:ascii="宋体" w:hAnsi="宋体" w:cs="宋体"/>
          <w:sz w:val="24"/>
          <w:szCs w:val="24"/>
        </w:rPr>
        <w:t>3. 在该项目实施过程中，如遇到需与外部相关单位协调的问题时，应自行解决，学院只负责协助。</w:t>
      </w:r>
    </w:p>
    <w:p w14:paraId="769D8395">
      <w:pPr>
        <w:spacing w:line="360" w:lineRule="auto"/>
        <w:ind w:firstLine="480" w:firstLineChars="200"/>
        <w:rPr>
          <w:rFonts w:hint="eastAsia" w:ascii="宋体" w:hAnsi="宋体" w:cs="宋体"/>
          <w:sz w:val="24"/>
          <w:szCs w:val="24"/>
        </w:rPr>
      </w:pPr>
      <w:r>
        <w:rPr>
          <w:rFonts w:hint="eastAsia" w:ascii="宋体" w:hAnsi="宋体" w:cs="宋体"/>
          <w:sz w:val="24"/>
          <w:szCs w:val="24"/>
        </w:rPr>
        <w:t>4. 必须做好文明施工，确保施工安全，如因施工安全措施落实不到位，造成人身安全或工伤死亡事故，一切责任由施工单位负责。</w:t>
      </w:r>
    </w:p>
    <w:p w14:paraId="786B78D3">
      <w:pPr>
        <w:spacing w:line="360" w:lineRule="auto"/>
        <w:ind w:firstLine="480" w:firstLineChars="200"/>
        <w:rPr>
          <w:rFonts w:hint="eastAsia" w:ascii="宋体" w:hAnsi="宋体" w:cs="宋体"/>
          <w:sz w:val="24"/>
          <w:szCs w:val="24"/>
        </w:rPr>
      </w:pPr>
      <w:r>
        <w:rPr>
          <w:rFonts w:hint="eastAsia" w:ascii="宋体" w:hAnsi="宋体" w:cs="宋体"/>
          <w:sz w:val="24"/>
          <w:szCs w:val="24"/>
        </w:rPr>
        <w:t>5. 建筑垃圾必须及时清运干净，施工过程中应采取有效措施，尽量减少对采购人单位进出人员的生活、工作造成的影响，并确保各方人员的安全，施工区域内由于施工单位的责任造成的一切人员伤亡，均由施工单位承担由此产生的一切赔偿等后果。</w:t>
      </w:r>
    </w:p>
    <w:p w14:paraId="239EDD33">
      <w:pPr>
        <w:spacing w:line="360" w:lineRule="auto"/>
        <w:ind w:firstLine="480" w:firstLineChars="200"/>
        <w:rPr>
          <w:rFonts w:hint="eastAsia" w:ascii="宋体" w:hAnsi="宋体" w:cs="宋体"/>
          <w:sz w:val="24"/>
          <w:szCs w:val="24"/>
        </w:rPr>
      </w:pPr>
      <w:r>
        <w:rPr>
          <w:rFonts w:hint="eastAsia" w:ascii="宋体" w:hAnsi="宋体" w:cs="宋体"/>
          <w:sz w:val="24"/>
          <w:szCs w:val="24"/>
        </w:rPr>
        <w:t>6. 施工单位施工队伍必须接受现场管理单位的监督、管理和指导，无条件遵守采购人的各项规定。</w:t>
      </w:r>
    </w:p>
    <w:p w14:paraId="72914ED0">
      <w:pPr>
        <w:spacing w:line="360" w:lineRule="auto"/>
        <w:ind w:firstLine="480" w:firstLineChars="200"/>
        <w:rPr>
          <w:rFonts w:hint="eastAsia" w:ascii="宋体" w:hAnsi="宋体" w:cs="宋体"/>
          <w:sz w:val="24"/>
          <w:szCs w:val="24"/>
        </w:rPr>
      </w:pPr>
      <w:r>
        <w:rPr>
          <w:rFonts w:hint="eastAsia" w:ascii="宋体" w:hAnsi="宋体" w:cs="宋体"/>
          <w:sz w:val="24"/>
          <w:szCs w:val="24"/>
        </w:rPr>
        <w:t>7. 施工单位自行解决工人宿舍用地、食堂与生活设施等场地问题。</w:t>
      </w:r>
    </w:p>
    <w:p w14:paraId="4165CD4A">
      <w:pPr>
        <w:spacing w:line="360" w:lineRule="auto"/>
        <w:ind w:firstLine="480" w:firstLineChars="200"/>
        <w:rPr>
          <w:rFonts w:hint="eastAsia" w:ascii="宋体" w:hAnsi="宋体" w:cs="宋体"/>
          <w:sz w:val="24"/>
          <w:szCs w:val="24"/>
        </w:rPr>
      </w:pPr>
      <w:r>
        <w:rPr>
          <w:rFonts w:hint="eastAsia" w:ascii="宋体" w:hAnsi="宋体" w:cs="宋体"/>
          <w:sz w:val="24"/>
          <w:szCs w:val="24"/>
        </w:rPr>
        <w:t>8. 在施工期间应严格遵守国家、省、市有关防火、防爆和施工安全以及文明施工，深夜施工、环卫、治安与城管、计划生育等规定，应建立规章制度和防护、防范措施，并承担由于自身措施不力造成的事故责任和发生的费用。</w:t>
      </w:r>
    </w:p>
    <w:p w14:paraId="64122738">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 </w:t>
      </w:r>
    </w:p>
    <w:p w14:paraId="434CEF80">
      <w:pPr>
        <w:spacing w:line="360" w:lineRule="auto"/>
        <w:ind w:firstLine="482" w:firstLineChars="200"/>
        <w:jc w:val="left"/>
        <w:outlineLvl w:val="1"/>
        <w:rPr>
          <w:rFonts w:hint="eastAsia" w:ascii="宋体" w:hAnsi="宋体" w:cs="宋体"/>
          <w:b/>
          <w:sz w:val="24"/>
          <w:szCs w:val="24"/>
        </w:rPr>
      </w:pPr>
      <w:r>
        <w:rPr>
          <w:rFonts w:hint="eastAsia" w:ascii="宋体" w:hAnsi="宋体" w:cs="宋体"/>
          <w:b/>
          <w:sz w:val="24"/>
          <w:szCs w:val="24"/>
        </w:rPr>
        <w:t>（四）材料及设备供应要求</w:t>
      </w:r>
    </w:p>
    <w:p w14:paraId="7B4A08D8">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1. 本工程所承包范围内所需的材料、成品、未成品的采购、运输、保管、质量等责任均由中标人承担，学院不提供任何材料。</w:t>
      </w:r>
    </w:p>
    <w:p w14:paraId="1FF88F46">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2. 采购供应的材料，其名称、品种、型号、规格、质量等，均应符合国家、地方及行业有关规范及要求，并能满足学院的要求。</w:t>
      </w:r>
    </w:p>
    <w:p w14:paraId="65BE4027">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3. 由于施工单位提供的伪劣、假冒等所有不合格材料而导致的损失、事故及一切后果，均由施工单位负责并赔偿采购人所有损失，并负责免费更换所有已施工的不合格材料。</w:t>
      </w:r>
    </w:p>
    <w:p w14:paraId="115A00D8">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4. 若投标人使用的标准在本报价技术要求的规定外，投标人应明确说明用于替代的标准或使用规范并提供所使用的标准，该标准是国际公认的同等或更高级的标准，如投标人所使用的标准低于上述标准，采购人将有权不予接受。</w:t>
      </w:r>
    </w:p>
    <w:p w14:paraId="7862CF1E">
      <w:pPr>
        <w:spacing w:line="360" w:lineRule="auto"/>
        <w:ind w:firstLine="482" w:firstLineChars="200"/>
        <w:jc w:val="left"/>
        <w:rPr>
          <w:rFonts w:hint="eastAsia" w:ascii="宋体" w:hAnsi="宋体" w:cs="宋体"/>
          <w:b/>
          <w:sz w:val="24"/>
          <w:szCs w:val="24"/>
        </w:rPr>
      </w:pPr>
      <w:r>
        <w:rPr>
          <w:rFonts w:hint="eastAsia" w:ascii="宋体" w:hAnsi="宋体" w:cs="宋体"/>
          <w:b/>
          <w:sz w:val="24"/>
          <w:szCs w:val="24"/>
        </w:rPr>
        <w:t xml:space="preserve"> </w:t>
      </w:r>
    </w:p>
    <w:p w14:paraId="17970B2B">
      <w:pPr>
        <w:spacing w:line="360" w:lineRule="auto"/>
        <w:ind w:firstLine="482" w:firstLineChars="200"/>
        <w:jc w:val="left"/>
        <w:outlineLvl w:val="1"/>
        <w:rPr>
          <w:rFonts w:hint="eastAsia" w:ascii="宋体" w:hAnsi="宋体" w:cs="宋体"/>
          <w:b/>
          <w:sz w:val="24"/>
          <w:szCs w:val="24"/>
        </w:rPr>
      </w:pPr>
      <w:r>
        <w:rPr>
          <w:rFonts w:hint="eastAsia" w:ascii="宋体" w:hAnsi="宋体" w:cs="宋体"/>
          <w:b/>
          <w:sz w:val="24"/>
          <w:szCs w:val="24"/>
        </w:rPr>
        <w:t>（五）质量标准和使用材料要求</w:t>
      </w:r>
    </w:p>
    <w:p w14:paraId="6630BC37">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1. 工程技术要求：</w:t>
      </w:r>
      <w:r>
        <w:rPr>
          <w:rFonts w:hint="eastAsia" w:ascii="宋体" w:hAnsi="宋体" w:cs="宋体"/>
          <w:bCs/>
          <w:sz w:val="24"/>
          <w:szCs w:val="24"/>
        </w:rPr>
        <w:t>按有关国家和省市有关规范及现行行业标准。</w:t>
      </w:r>
    </w:p>
    <w:p w14:paraId="1D7AF12A">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2. 工程质量要求：确保达到合格工程承包人在施工中如果工程质量不符合国家有关规范和招投标文件的有关规定，建设单位要求停工和返工时，承包人无条件必须立即执行，并承担由此产生的各种费用，工期不予顺延。</w:t>
      </w:r>
    </w:p>
    <w:p w14:paraId="5BEBDEBD">
      <w:pPr>
        <w:spacing w:line="360" w:lineRule="auto"/>
        <w:jc w:val="left"/>
        <w:rPr>
          <w:rFonts w:hint="eastAsia" w:ascii="宋体" w:hAnsi="宋体" w:cs="仿宋_GB2312"/>
          <w:b/>
          <w:sz w:val="24"/>
          <w:szCs w:val="24"/>
        </w:rPr>
      </w:pPr>
      <w:r>
        <w:rPr>
          <w:rFonts w:hint="eastAsia" w:ascii="宋体" w:hAnsi="宋体" w:cs="仿宋_GB2312"/>
          <w:b/>
          <w:sz w:val="24"/>
          <w:szCs w:val="24"/>
        </w:rPr>
        <w:t xml:space="preserve"> </w:t>
      </w:r>
    </w:p>
    <w:p w14:paraId="37C4414C">
      <w:pPr>
        <w:spacing w:line="360" w:lineRule="auto"/>
        <w:ind w:firstLine="241" w:firstLineChars="100"/>
        <w:jc w:val="left"/>
        <w:rPr>
          <w:rFonts w:hint="eastAsia" w:ascii="宋体" w:hAnsi="宋体" w:cs="仿宋_GB2312"/>
          <w:b/>
          <w:sz w:val="24"/>
          <w:szCs w:val="24"/>
        </w:rPr>
      </w:pPr>
      <w:r>
        <w:rPr>
          <w:rFonts w:hint="eastAsia" w:ascii="宋体" w:hAnsi="宋体" w:cs="仿宋_GB2312"/>
          <w:b/>
          <w:sz w:val="24"/>
          <w:szCs w:val="24"/>
        </w:rPr>
        <w:t>（六）施工工艺要求</w:t>
      </w:r>
    </w:p>
    <w:p w14:paraId="143E14CF">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1、管路敷设 </w:t>
      </w:r>
    </w:p>
    <w:p w14:paraId="3F108F55">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（1）按设计施工图放线。 </w:t>
      </w:r>
    </w:p>
    <w:p w14:paraId="34857F09">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（2）火灾自动报警系统的传输线路均采用穿金属管、可挠（金属）电气导管、B1级以上的刚性塑料管或封闭式线槽保护方式布线。 </w:t>
      </w:r>
    </w:p>
    <w:p w14:paraId="24F01560">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3）消防控制、通信和报警线路采用暗敷设时，用金属管、可挠（金属）电气导管、B1级以上的刚性塑料管保护，并敷设在不燃烧体的结构层内，保护层厚度不小于30mm。当采用明敷设时，应采用金属管、可挠（金属）电气导管或金属封闭线槽保护，矿物绝缘类不燃性电缆可直接明敷。 </w:t>
      </w:r>
    </w:p>
    <w:p w14:paraId="6F5FA761">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（4）从接线盒处引到探测器底座盒、控制设备盒、扬声器箱的线路均加金属软管保护。 </w:t>
      </w:r>
    </w:p>
    <w:p w14:paraId="496618D0">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5）管路长度每超过30m，无弯曲时，在便于接线处装设接线盒。管路长度每超过20m，有一个弯曲时，在便于接线处装设接线盒。管路长度每超过10m，有两个弯曲时，在便于接线处装设接线盒。管路长度每超过8m，有三个弯曲时，在便于接线处装设接线盒。 </w:t>
      </w:r>
    </w:p>
    <w:p w14:paraId="0CDADCC4">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（6）金属管子入盒，盒外侧套锁母，内侧装保护口；在吊顶内敷设时，盒的内外侧均套锁母。塑料管入盒应采取相应固定措施。 </w:t>
      </w:r>
    </w:p>
    <w:p w14:paraId="3E00D719">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（7）在敷设各类管路时，采用单独的卡具固定。 </w:t>
      </w:r>
    </w:p>
    <w:p w14:paraId="5E36CD60">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（8）管路的直线段每隔1.0m-1.5m设置固定点。在管路接头处、距接线盒0.2m处、管路走向改变或转角处也需设置固定点。 </w:t>
      </w:r>
    </w:p>
    <w:p w14:paraId="20680E54">
      <w:pPr>
        <w:spacing w:line="360" w:lineRule="auto"/>
        <w:ind w:firstLine="480"/>
        <w:jc w:val="left"/>
        <w:rPr>
          <w:rFonts w:hint="eastAsia" w:ascii="宋体" w:hAnsi="宋体" w:cs="宋体"/>
          <w:sz w:val="24"/>
          <w:szCs w:val="24"/>
        </w:rPr>
      </w:pPr>
      <w:r>
        <w:rPr>
          <w:rFonts w:hint="eastAsia" w:ascii="宋体" w:hAnsi="宋体" w:cs="宋体"/>
          <w:sz w:val="24"/>
          <w:szCs w:val="24"/>
        </w:rPr>
        <w:t>（9）消防控制设备的外接导线，采用金属软管作套管，其长度不大于2m，且采用管卡固定，其固定点间距不大于0.5m，金属软管与消防控制设备的接线盒（箱）采用锁母固定，并根据配管规定接地。工作接地线采用铜芯绝缘导线或电缆。</w:t>
      </w:r>
    </w:p>
    <w:p w14:paraId="60731B17">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 2、管内穿线 </w:t>
      </w:r>
    </w:p>
    <w:p w14:paraId="419536CC">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（1）在管内或槽内穿线前，应将其内的杂物清除干净，管路清除干净后，向管内吹入少量滑石粉，以便穿线，并将管子端部装上护口，以防管口将导线绝缘层划破。 </w:t>
      </w:r>
    </w:p>
    <w:p w14:paraId="4B648124">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2）火灾自动报警系统的传输线路和50V以下供电的控制线路，应采用电压等级不低于交流300V/500V的铜芯绝缘导线或铜芯电缆。采用交流220V/380V的供电和控制线路，应采用电压等级不低于交流450V/750V的铜芯绝缘导线或铜芯电缆。火灾自动报警系统传输线路的线芯截面选择，除应满足自动报警装置技术条件的要求外，还应满足机械强度的要求。 </w:t>
      </w:r>
    </w:p>
    <w:p w14:paraId="1397D5F9">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（3）火灾探测器的传输线路，选用不同颜色的绝缘导线或电缆，正极"+"线为红色，负极"-"线为蓝色或黑色，相同用途导线的颜色始终保持一致，接线端子设有标号。 </w:t>
      </w:r>
    </w:p>
    <w:p w14:paraId="4726CBAD">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（4）不同系统、不同电压等级、不同电流类别的线路，不得穿在同一管内。 </w:t>
      </w:r>
    </w:p>
    <w:p w14:paraId="5012F480">
      <w:pPr>
        <w:spacing w:line="360" w:lineRule="auto"/>
        <w:ind w:firstLine="480"/>
        <w:jc w:val="left"/>
        <w:rPr>
          <w:rFonts w:hint="eastAsia" w:ascii="宋体" w:hAnsi="宋体" w:cs="宋体"/>
          <w:sz w:val="24"/>
          <w:szCs w:val="24"/>
        </w:rPr>
      </w:pPr>
      <w:r>
        <w:rPr>
          <w:rFonts w:hint="eastAsia" w:ascii="宋体" w:hAnsi="宋体" w:cs="宋体"/>
          <w:sz w:val="24"/>
          <w:szCs w:val="24"/>
        </w:rPr>
        <w:t>（5）导线在管内，不应有接头或扭接。导线的接头在接线盒内焊接或用端子连接。</w:t>
      </w:r>
    </w:p>
    <w:p w14:paraId="7B452ADB">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 （6）引入控制器的电缆或导线须配线整齐，避免交叉，并固定牢固，电缆芯线和所配导线的端部，均标明编号，并与图纸一致，字迹清晰不宜褪色，端子板的每个接线端，接线不超过2根，电缆芯和导线，须留有不小于20cm的余量，导线引入穿线后，在进线管处应封堵，导线应绑扎成束。 </w:t>
      </w:r>
    </w:p>
    <w:p w14:paraId="5D7767A4">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（7）接线端子箱内的端子采用压接或带锡焊点的端子板，其接线端子有相应的标号。 </w:t>
      </w:r>
    </w:p>
    <w:p w14:paraId="21D92E4C">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3、桥架敷线、安装 </w:t>
      </w:r>
    </w:p>
    <w:p w14:paraId="51AE22FC">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1）工程联动控制部分采用电缆，电缆沿电缆桥架敷设。桥架水平敷设时支撑跨距一般为1.5～2m，垂直敷设时固定间距不大于2m，在距桥架弯曲段与直线段接合处300-600mm的直线段侧设置一个支吊架，当桥架弯曲半径大于300mm时，还应在弯曲中部增设一个支吊架。 </w:t>
      </w:r>
    </w:p>
    <w:p w14:paraId="63545613">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2）对桥架的支、吊架位置误差严格控制，支吊架的同层横档应在同一水平面上，防止纵向偏差过大使安装后的桥架在支吊点悬空而不能与支吊架直接接触，其高低偏差不应大于5mm；支吊架的横向偏差过大可能会使相邻桥架错位，而无法连接或安装后的电缆桥架不直接影响美观，支吊架左右走向不应大于10mm。 </w:t>
      </w:r>
    </w:p>
    <w:p w14:paraId="1764B5D3">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（3）电缆桥架的末端，应使用终端板，桥架连接板的螺栓应紧固，螺母应位于桥架的外侧。 </w:t>
      </w:r>
    </w:p>
    <w:p w14:paraId="4EF0250A">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（4）电缆桥架在穿过人防区域，竖井的墙及楼板时，应用防火板、防火涂料等材料作好密封隔离。 </w:t>
      </w:r>
    </w:p>
    <w:p w14:paraId="333FC202">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5）在吊顶内敷设的各类管路和线槽需采用单独的卡具吊装或支持物固定，不要依附在吊顶支架上。线槽的直线段应每隔1.0～1.5m设置吊点或支点。在下列部位也设置支、吊点、线槽接头处；距接线盒0.2m处；线槽走向改变或转弯处。 </w:t>
      </w:r>
    </w:p>
    <w:p w14:paraId="02F9F636">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（6）吊装线槽的吊杆直径不小于6mm。 </w:t>
      </w:r>
    </w:p>
    <w:p w14:paraId="5C0E278E">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（7）管线经过建筑物的变形缝（包括沉降、伸缩缝、抗震缝）处，应采取补偿措施。导线跨越变形缝的两侧应固定，并留有适当余量。 </w:t>
      </w:r>
    </w:p>
    <w:p w14:paraId="372E16E0">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4、探测器、手动报警按钮安装 </w:t>
      </w:r>
    </w:p>
    <w:p w14:paraId="109842A3">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（1）为防止丢失和损坏，探测器在即将调试时方可安装，在安装前妥善保管，要有防尘、防潮、防腐蚀等措施。 </w:t>
      </w:r>
    </w:p>
    <w:p w14:paraId="5CC3C429">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（2）探测器在顶棚上宜水平安装，如必须倾斜安装时，保证倾斜角小于或等于45度。 </w:t>
      </w:r>
    </w:p>
    <w:p w14:paraId="1BC10458">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（3）探测器底座的外接线，应留有不小于20cm的余量，入端处应有明显标志。探测器的确认灯，应面向便于人员观察的主要入口方向。 </w:t>
      </w:r>
    </w:p>
    <w:p w14:paraId="620A7EFD">
      <w:pPr>
        <w:spacing w:line="360" w:lineRule="auto"/>
        <w:ind w:firstLine="480"/>
        <w:jc w:val="left"/>
        <w:rPr>
          <w:rFonts w:hint="eastAsia" w:ascii="宋体" w:hAnsi="宋体" w:cs="宋体"/>
          <w:sz w:val="24"/>
          <w:szCs w:val="24"/>
        </w:rPr>
      </w:pPr>
      <w:r>
        <w:rPr>
          <w:rFonts w:hint="eastAsia" w:ascii="宋体" w:hAnsi="宋体" w:cs="宋体"/>
          <w:sz w:val="24"/>
          <w:szCs w:val="24"/>
        </w:rPr>
        <w:t>（4）手动火灾报警按钮(电话插孔)设置在墙上时，距地（楼）面高度为1.3m～1.5m。</w:t>
      </w:r>
    </w:p>
    <w:p w14:paraId="47CC2696">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（5）手动火灾报警按钮应安装牢固，并不得倾斜。 </w:t>
      </w:r>
    </w:p>
    <w:p w14:paraId="3F1502BF">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（6）手动火灾报警按钮的外接导线，应留有不小于10cm的余量，且在其端部应有明显标志。 </w:t>
      </w:r>
    </w:p>
    <w:p w14:paraId="345B24BA">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5、端子箱安装 </w:t>
      </w:r>
    </w:p>
    <w:p w14:paraId="448B7057">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1）在各层弱电井内或楼梯间安装消防接线端子箱，端子箱明装在弱电井内或楼梯间墙壁上，距地1.5m，根据进出电缆/电线的方向及桥架的规格，在端子箱的顶部或底部开孔。端子箱的所有开孔处须用橡胶皮保护孔的边缘，以防止损坏电线电缆。端子箱采用膨胀螺栓在墙上固定。 </w:t>
      </w:r>
    </w:p>
    <w:p w14:paraId="7C974203">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2）端子箱内，用对线器进行对线编号，然后将导线留有一定的余量，把控制中心来的干线和火灾报警器及其它的控制线路分别绑扎成束，分别设在端子板两侧，左边为消防值班室引来的干线，右侧为火灾报警探测器和其它设备引来的控制线路。压线前应对导线的绝缘进行摇测，合格后再按设计和厂家要求压线。 </w:t>
      </w:r>
    </w:p>
    <w:p w14:paraId="50ECCDB6">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6、模块的安装 </w:t>
      </w:r>
    </w:p>
    <w:p w14:paraId="7B9DD7CA">
      <w:pPr>
        <w:spacing w:line="360" w:lineRule="auto"/>
        <w:ind w:firstLine="480"/>
        <w:jc w:val="left"/>
        <w:rPr>
          <w:rFonts w:hint="eastAsia" w:ascii="宋体" w:hAnsi="宋体" w:cs="宋体"/>
          <w:sz w:val="24"/>
          <w:szCs w:val="24"/>
        </w:rPr>
      </w:pPr>
      <w:r>
        <w:rPr>
          <w:rFonts w:hint="eastAsia" w:ascii="宋体" w:hAnsi="宋体" w:cs="宋体"/>
          <w:sz w:val="24"/>
          <w:szCs w:val="24"/>
        </w:rPr>
        <w:t>火灾自动报警系统中使用的模块有：输入模块和输入输出模块；输入模块的功能是将被监视设备的开关量信号采集进报警回路，主要被监视的设备包括：水流指示器、信号碟阀、压力开关、70℃或280℃防火阀、水位控制阀等。输入输出模块是根据火灾报警信号及程序而控制相应的被控设备实现相应的动作，并将其动作信号反馈给火灾报警主机，工程主要被控设备有：70℃或280℃电控防火阀、电动排烟口、防排烟风机、消防应急广播切换、非消防电源配电柜（强切）、应急照明或疏散指示配电柜（强启）、泡沫泵及消火栓泵控制柜等等。风机房、水泵房以及强电井等模块比较集中的场合设置了模块箱，模块放置在模块箱内，其它模块就近安装在被控设备附近，具体安装位置，有吊顶区域，在吊顶内墙上或顶板上安装，无吊顶区域，在墙上壁装，距地2.8米。</w:t>
      </w:r>
    </w:p>
    <w:p w14:paraId="7DA097BF">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未集中设置的模块附近应有尺寸不小于100mmX100mm的标识。 </w:t>
      </w:r>
    </w:p>
    <w:p w14:paraId="7E3C0B1A">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7、系统接地装置安装 </w:t>
      </w:r>
    </w:p>
    <w:p w14:paraId="4D87524A">
      <w:pPr>
        <w:spacing w:line="360" w:lineRule="auto"/>
        <w:ind w:firstLine="480"/>
        <w:jc w:val="left"/>
        <w:rPr>
          <w:rFonts w:hint="eastAsia" w:ascii="宋体" w:hAnsi="宋体" w:cs="宋体"/>
          <w:sz w:val="24"/>
          <w:szCs w:val="24"/>
        </w:rPr>
      </w:pPr>
      <w:r>
        <w:rPr>
          <w:rFonts w:hint="eastAsia" w:ascii="宋体" w:hAnsi="宋体" w:cs="宋体"/>
          <w:sz w:val="24"/>
          <w:szCs w:val="24"/>
        </w:rPr>
        <w:t>工作接地线应采用铜芯绝缘导线或电缆，不得利用镀锌扁铁或金属软管。工作接地线与保护线必须分开，保护接地导体不得利用金属软管。所有保护接地导体的接触面在连接前先清洁；接地装置施工完毕后，及时作隐蔽工程验收，包括测量接地电阻并作记录以及查验应提交的技术文件等。</w:t>
      </w:r>
    </w:p>
    <w:p w14:paraId="71861200">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 </w:t>
      </w:r>
    </w:p>
    <w:p w14:paraId="62009854">
      <w:pPr>
        <w:spacing w:line="360" w:lineRule="auto"/>
        <w:ind w:firstLine="482" w:firstLineChars="200"/>
        <w:jc w:val="left"/>
        <w:rPr>
          <w:rFonts w:hint="eastAsia" w:ascii="宋体" w:hAnsi="宋体" w:cs="宋体"/>
          <w:sz w:val="24"/>
          <w:szCs w:val="24"/>
        </w:rPr>
      </w:pPr>
      <w:r>
        <w:rPr>
          <w:rFonts w:hint="eastAsia" w:ascii="宋体" w:hAnsi="宋体" w:cs="宋体"/>
          <w:b/>
          <w:bCs/>
          <w:sz w:val="24"/>
          <w:szCs w:val="24"/>
        </w:rPr>
        <w:t>（七）施工围蔽要求</w:t>
      </w:r>
    </w:p>
    <w:p w14:paraId="4AAE4553">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1. 施工现场作业区域内必须设置全封闭围栏，防止无关人员误入作业区域发生伤害施工人员或无关人员的事故。</w:t>
      </w:r>
    </w:p>
    <w:p w14:paraId="14F72D1D">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2. 根据高处作业坠落半径的相关要求，15米以下作业的坠落半径为3米，因此高处作业区域3米外应设置围栏或拉设警戒线，防止地面作业人员进入坠落半径内发生高处坠物伤人； </w:t>
      </w:r>
    </w:p>
    <w:p w14:paraId="5B5F9527">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3. 存在高处作业的施工现场，必须在作业区域内设置全封闭围栏，并在高处作业区域3米外应设置围栏或拉设警戒线，因此存在高处作业的施工区域，应设置两道围栏：一道在高处作业区域3米外，防止地面作业人员进入坠落半径内发生高处坠物伤人；一道对整个作业区域进行全封闭围蔽，防止无关人员误入作业区域发生伤害施工人员或无关人员的事故。</w:t>
      </w:r>
    </w:p>
    <w:p w14:paraId="3E764AE6">
      <w:pPr>
        <w:spacing w:line="360" w:lineRule="auto"/>
        <w:jc w:val="left"/>
        <w:rPr>
          <w:rFonts w:hint="eastAsia" w:ascii="宋体" w:hAnsi="宋体" w:cs="宋体"/>
          <w:sz w:val="24"/>
          <w:szCs w:val="24"/>
        </w:rPr>
      </w:pPr>
      <w:r>
        <w:rPr>
          <w:rFonts w:hint="eastAsia" w:ascii="宋体" w:hAnsi="宋体" w:cs="宋体"/>
          <w:sz w:val="24"/>
          <w:szCs w:val="24"/>
        </w:rPr>
        <w:t xml:space="preserve"> </w:t>
      </w:r>
    </w:p>
    <w:p w14:paraId="40D90370">
      <w:pPr>
        <w:spacing w:line="360" w:lineRule="auto"/>
        <w:ind w:firstLine="480"/>
        <w:jc w:val="left"/>
        <w:rPr>
          <w:rFonts w:hint="eastAsia" w:ascii="宋体" w:hAnsi="宋体" w:cs="宋体"/>
          <w:b/>
          <w:sz w:val="24"/>
          <w:szCs w:val="24"/>
        </w:rPr>
      </w:pPr>
      <w:r>
        <w:rPr>
          <w:rFonts w:hint="eastAsia" w:ascii="宋体" w:hAnsi="宋体" w:cs="宋体"/>
          <w:b/>
          <w:sz w:val="24"/>
          <w:szCs w:val="24"/>
        </w:rPr>
        <w:t xml:space="preserve">（八）验收资料要求 </w:t>
      </w:r>
    </w:p>
    <w:p w14:paraId="13E2EA45">
      <w:pPr>
        <w:spacing w:line="360" w:lineRule="auto"/>
        <w:ind w:firstLine="480"/>
        <w:jc w:val="left"/>
        <w:rPr>
          <w:rFonts w:hint="eastAsia" w:ascii="宋体" w:hAnsi="宋体" w:cs="宋体"/>
          <w:sz w:val="24"/>
          <w:szCs w:val="24"/>
        </w:rPr>
      </w:pPr>
      <w:r>
        <w:rPr>
          <w:rFonts w:hint="eastAsia" w:ascii="宋体" w:hAnsi="宋体" w:cs="宋体"/>
          <w:sz w:val="24"/>
          <w:szCs w:val="24"/>
        </w:rPr>
        <w:t>1、图纸、资料的审查：初始设计图纸、施工图纸、设计变更及竣工图，火灾探测器、报警控制器、火灾显示盘、手动火灾报警按钮、消防联动控制设备等主要设备及线路的性能指标的资料和产品合格证书，隐蔽工程的施工验收记录等。</w:t>
      </w:r>
    </w:p>
    <w:p w14:paraId="7F8CBE3B">
      <w:pPr>
        <w:spacing w:line="360" w:lineRule="auto"/>
        <w:ind w:firstLine="480"/>
        <w:jc w:val="left"/>
        <w:rPr>
          <w:rFonts w:hint="eastAsia" w:ascii="宋体" w:hAnsi="宋体" w:cs="宋体"/>
          <w:sz w:val="24"/>
          <w:szCs w:val="24"/>
        </w:rPr>
      </w:pPr>
      <w:r>
        <w:rPr>
          <w:rFonts w:hint="eastAsia" w:ascii="宋体" w:hAnsi="宋体" w:cs="宋体"/>
          <w:sz w:val="24"/>
          <w:szCs w:val="24"/>
        </w:rPr>
        <w:t xml:space="preserve"> 2、系统综合性功能试验：火灾探测器模拟报警试验及核实编码，火灾报警控制器和火灾显示盘的自检等其他功能、电源转换、消音、复位操作、电源容量、电源电性能，联动控制设备的故障报警、自检、控制、火灾信号接收功能和电源容量、电性能检，核实手动火灾报警按钮编码。</w:t>
      </w:r>
    </w:p>
    <w:p w14:paraId="7FF6B2C2">
      <w:pPr>
        <w:spacing w:line="360" w:lineRule="auto"/>
        <w:ind w:firstLine="480"/>
        <w:jc w:val="left"/>
        <w:rPr>
          <w:rFonts w:hint="eastAsia" w:ascii="宋体" w:hAnsi="宋体" w:cs="宋体"/>
          <w:sz w:val="24"/>
          <w:szCs w:val="24"/>
        </w:rPr>
      </w:pPr>
    </w:p>
    <w:p w14:paraId="73A51BDB">
      <w:pPr>
        <w:spacing w:line="360" w:lineRule="auto"/>
        <w:ind w:firstLine="480"/>
        <w:jc w:val="left"/>
        <w:rPr>
          <w:rFonts w:hint="eastAsia" w:ascii="宋体" w:hAnsi="宋体" w:cs="宋体"/>
          <w:b/>
          <w:sz w:val="24"/>
          <w:szCs w:val="24"/>
          <w:lang w:val="en-US" w:eastAsia="zh-CN"/>
        </w:rPr>
      </w:pPr>
      <w:r>
        <w:rPr>
          <w:rFonts w:hint="eastAsia" w:ascii="宋体" w:hAnsi="宋体" w:cs="宋体"/>
          <w:b/>
          <w:sz w:val="24"/>
          <w:szCs w:val="24"/>
          <w:lang w:val="en-US" w:eastAsia="zh-CN"/>
        </w:rPr>
        <w:t>五、项目培训及售后服务要求</w:t>
      </w:r>
    </w:p>
    <w:p w14:paraId="20C0C6C0">
      <w:pPr>
        <w:spacing w:line="560" w:lineRule="exact"/>
        <w:jc w:val="left"/>
        <w:rPr>
          <w:rFonts w:hint="eastAsia" w:ascii="宋体" w:hAnsi="宋体" w:cs="宋体"/>
          <w:sz w:val="24"/>
          <w:szCs w:val="24"/>
        </w:rPr>
      </w:pPr>
      <w:r>
        <w:rPr>
          <w:rFonts w:hint="eastAsia" w:ascii="宋体" w:hAnsi="宋体" w:cs="宋体"/>
          <w:sz w:val="24"/>
          <w:szCs w:val="24"/>
        </w:rPr>
        <w:t>(一)供方向需方提供的培训内容如下：</w:t>
      </w:r>
    </w:p>
    <w:p w14:paraId="5C18D00E">
      <w:pPr>
        <w:spacing w:line="560" w:lineRule="exact"/>
        <w:ind w:firstLine="480" w:firstLineChars="200"/>
        <w:jc w:val="left"/>
        <w:rPr>
          <w:rFonts w:hint="eastAsia" w:ascii="宋体" w:hAnsi="宋体" w:cs="宋体"/>
          <w:sz w:val="24"/>
          <w:szCs w:val="24"/>
        </w:rPr>
      </w:pPr>
      <w:r>
        <w:rPr>
          <w:rFonts w:hint="eastAsia" w:ascii="宋体" w:hAnsi="宋体" w:cs="宋体"/>
          <w:sz w:val="24"/>
          <w:szCs w:val="24"/>
        </w:rPr>
        <w:t>1.供方负责对需方进行免费产品培训;</w:t>
      </w:r>
    </w:p>
    <w:p w14:paraId="0456CE31">
      <w:pPr>
        <w:spacing w:line="560" w:lineRule="exact"/>
        <w:ind w:firstLine="480" w:firstLineChars="200"/>
        <w:jc w:val="left"/>
        <w:rPr>
          <w:rFonts w:hint="eastAsia" w:ascii="宋体" w:hAnsi="宋体" w:cs="宋体"/>
          <w:sz w:val="24"/>
          <w:szCs w:val="24"/>
        </w:rPr>
      </w:pPr>
      <w:r>
        <w:rPr>
          <w:rFonts w:hint="eastAsia" w:ascii="宋体" w:hAnsi="宋体" w:cs="宋体"/>
          <w:sz w:val="24"/>
          <w:szCs w:val="24"/>
        </w:rPr>
        <w:t>2.由供方派出专业技术工程师，对所提供的产品进行两次以上免费培训。</w:t>
      </w:r>
    </w:p>
    <w:p w14:paraId="3F7E4589">
      <w:pPr>
        <w:spacing w:line="560" w:lineRule="exact"/>
        <w:ind w:firstLine="480" w:firstLineChars="200"/>
        <w:jc w:val="left"/>
        <w:rPr>
          <w:rFonts w:hint="eastAsia" w:ascii="宋体" w:hAnsi="宋体" w:cs="宋体"/>
          <w:sz w:val="24"/>
          <w:szCs w:val="24"/>
        </w:rPr>
      </w:pPr>
      <w:r>
        <w:rPr>
          <w:rFonts w:hint="eastAsia" w:ascii="宋体" w:hAnsi="宋体" w:cs="宋体"/>
          <w:sz w:val="24"/>
          <w:szCs w:val="24"/>
        </w:rPr>
        <w:t xml:space="preserve">3.培训内容:主要针对产品性能、技术参数、应用操作程序方法技巧等方面进行培训，保证需方能掌握设备的操作使用技能。            </w:t>
      </w:r>
    </w:p>
    <w:p w14:paraId="4DBA0F9D">
      <w:pPr>
        <w:spacing w:line="560" w:lineRule="exact"/>
        <w:jc w:val="left"/>
        <w:rPr>
          <w:rFonts w:hint="eastAsia" w:ascii="宋体" w:hAnsi="宋体" w:cs="宋体"/>
          <w:sz w:val="24"/>
          <w:szCs w:val="24"/>
        </w:rPr>
      </w:pPr>
      <w:r>
        <w:rPr>
          <w:rFonts w:hint="eastAsia" w:ascii="宋体" w:hAnsi="宋体" w:cs="宋体"/>
          <w:sz w:val="24"/>
          <w:szCs w:val="24"/>
        </w:rPr>
        <w:t xml:space="preserve">   (二)所有产品均须由供方提供 </w:t>
      </w:r>
      <w:r>
        <w:rPr>
          <w:rFonts w:hint="eastAsia" w:ascii="宋体" w:hAnsi="宋体" w:cs="宋体"/>
          <w:b/>
          <w:bCs/>
          <w:sz w:val="24"/>
          <w:szCs w:val="24"/>
          <w:lang w:val="en-US" w:eastAsia="zh-CN"/>
        </w:rPr>
        <w:t>2</w:t>
      </w:r>
      <w:r>
        <w:rPr>
          <w:rFonts w:hint="eastAsia" w:ascii="宋体" w:hAnsi="宋体" w:cs="宋体"/>
          <w:b/>
          <w:bCs/>
          <w:sz w:val="24"/>
          <w:szCs w:val="24"/>
        </w:rPr>
        <w:t xml:space="preserve"> 年保修期</w:t>
      </w:r>
      <w:r>
        <w:rPr>
          <w:rFonts w:hint="eastAsia" w:ascii="宋体" w:hAnsi="宋体" w:cs="宋体"/>
          <w:sz w:val="24"/>
          <w:szCs w:val="24"/>
        </w:rPr>
        <w:t>内的整机保修服务，保修期自供需双方代表在产品验收单上签字之日起计算。</w:t>
      </w:r>
      <w:r>
        <w:rPr>
          <w:rFonts w:hint="eastAsia" w:ascii="宋体" w:hAnsi="宋体" w:cs="宋体"/>
          <w:b/>
          <w:bCs/>
          <w:sz w:val="24"/>
          <w:szCs w:val="24"/>
        </w:rPr>
        <w:t>保修费用计入本合同总价。</w:t>
      </w:r>
    </w:p>
    <w:p w14:paraId="30CAAABB">
      <w:pPr>
        <w:spacing w:line="560" w:lineRule="exact"/>
        <w:jc w:val="left"/>
        <w:rPr>
          <w:rFonts w:hint="eastAsia" w:ascii="宋体" w:hAnsi="宋体" w:cs="宋体"/>
          <w:sz w:val="24"/>
          <w:szCs w:val="24"/>
        </w:rPr>
      </w:pPr>
      <w:r>
        <w:rPr>
          <w:rFonts w:hint="eastAsia" w:ascii="宋体" w:hAnsi="宋体" w:cs="宋体"/>
          <w:sz w:val="24"/>
          <w:szCs w:val="24"/>
        </w:rPr>
        <w:t xml:space="preserve">   (三)保修期内，供方负责对其提供的产品整机进行维修，并且保证每季度上门检修一次，不再向需方收取费用。</w:t>
      </w:r>
    </w:p>
    <w:p w14:paraId="57091E8E">
      <w:pPr>
        <w:spacing w:line="560" w:lineRule="exact"/>
        <w:jc w:val="left"/>
        <w:rPr>
          <w:rFonts w:hint="eastAsia" w:ascii="宋体" w:hAnsi="宋体" w:cs="宋体"/>
          <w:b/>
          <w:bCs/>
          <w:sz w:val="24"/>
          <w:szCs w:val="24"/>
          <w:u w:val="single"/>
        </w:rPr>
      </w:pPr>
      <w:r>
        <w:rPr>
          <w:rFonts w:hint="eastAsia" w:ascii="宋体" w:hAnsi="宋体" w:cs="宋体"/>
          <w:sz w:val="24"/>
          <w:szCs w:val="24"/>
        </w:rPr>
        <w:t xml:space="preserve">   (四)产品故障报修的响应时间：</w:t>
      </w:r>
      <w:r>
        <w:rPr>
          <w:rFonts w:hint="eastAsia" w:ascii="宋体" w:hAnsi="宋体" w:cs="宋体"/>
          <w:b/>
          <w:bCs/>
          <w:sz w:val="24"/>
          <w:szCs w:val="24"/>
          <w:u w:val="single"/>
        </w:rPr>
        <w:t>每天8:00～18:00期间为 4 小时。其余期间为 24 小时。</w:t>
      </w:r>
    </w:p>
    <w:p w14:paraId="5927895A">
      <w:pPr>
        <w:spacing w:line="560" w:lineRule="exact"/>
        <w:jc w:val="left"/>
        <w:rPr>
          <w:rFonts w:hint="eastAsia" w:ascii="宋体" w:hAnsi="宋体" w:cs="宋体"/>
          <w:sz w:val="24"/>
          <w:szCs w:val="24"/>
        </w:rPr>
      </w:pPr>
      <w:r>
        <w:rPr>
          <w:rFonts w:hint="eastAsia" w:ascii="宋体" w:hAnsi="宋体" w:cs="宋体"/>
          <w:sz w:val="24"/>
          <w:szCs w:val="24"/>
        </w:rPr>
        <w:t xml:space="preserve">   (五)如果产品故障在检修 4 小时后仍无法排除，供方应在 24 小时内提供不低于故障产品规格型号档次的备用产品供需方使用，直至故障产品修复。</w:t>
      </w:r>
    </w:p>
    <w:p w14:paraId="6F22AD5F">
      <w:pPr>
        <w:spacing w:line="560" w:lineRule="exact"/>
        <w:jc w:val="left"/>
        <w:rPr>
          <w:rFonts w:hint="eastAsia" w:ascii="宋体" w:hAnsi="宋体" w:cs="宋体"/>
          <w:sz w:val="24"/>
          <w:szCs w:val="24"/>
        </w:rPr>
      </w:pPr>
      <w:r>
        <w:rPr>
          <w:rFonts w:hint="eastAsia" w:ascii="宋体" w:hAnsi="宋体" w:cs="宋体"/>
          <w:sz w:val="24"/>
          <w:szCs w:val="24"/>
        </w:rPr>
        <w:t xml:space="preserve">   (六)所有产品保修服务方式均为</w:t>
      </w:r>
      <w:r>
        <w:rPr>
          <w:rFonts w:hint="eastAsia" w:ascii="宋体" w:hAnsi="宋体" w:cs="宋体"/>
          <w:b/>
          <w:bCs/>
          <w:sz w:val="24"/>
          <w:szCs w:val="24"/>
        </w:rPr>
        <w:t>免费</w:t>
      </w:r>
      <w:r>
        <w:rPr>
          <w:rFonts w:hint="eastAsia" w:ascii="宋体" w:hAnsi="宋体" w:cs="宋体"/>
          <w:sz w:val="24"/>
          <w:szCs w:val="24"/>
        </w:rPr>
        <w:t>上门保修，即由供方派员到需方产品使用现场维修。由此产生的一切费用均由供方承担。</w:t>
      </w:r>
    </w:p>
    <w:p w14:paraId="04747EB8">
      <w:pPr>
        <w:spacing w:line="560" w:lineRule="exact"/>
        <w:jc w:val="left"/>
        <w:rPr>
          <w:rFonts w:hint="eastAsia" w:ascii="宋体" w:hAnsi="宋体" w:cs="宋体"/>
          <w:sz w:val="24"/>
          <w:szCs w:val="24"/>
        </w:rPr>
      </w:pPr>
      <w:r>
        <w:rPr>
          <w:rFonts w:hint="eastAsia" w:ascii="宋体" w:hAnsi="宋体" w:cs="宋体"/>
          <w:sz w:val="24"/>
          <w:szCs w:val="24"/>
        </w:rPr>
        <w:t xml:space="preserve">   (七)供方保修期内的维修、维护内容和范围（产品、技术、模块、部件）如下：</w:t>
      </w:r>
    </w:p>
    <w:p w14:paraId="7A68353E">
      <w:pPr>
        <w:spacing w:line="560" w:lineRule="exact"/>
        <w:jc w:val="left"/>
        <w:rPr>
          <w:rFonts w:hint="eastAsia" w:ascii="宋体" w:hAnsi="宋体" w:cs="宋体"/>
          <w:sz w:val="24"/>
          <w:szCs w:val="24"/>
        </w:rPr>
      </w:pPr>
      <w:r>
        <w:rPr>
          <w:rFonts w:hint="eastAsia" w:ascii="宋体" w:hAnsi="宋体" w:cs="宋体"/>
          <w:sz w:val="24"/>
          <w:szCs w:val="24"/>
        </w:rPr>
        <w:t xml:space="preserve">    1.如非人为因素损坏，供方负责对所提供的设备进行维修及维护，不再向需方收取费用；</w:t>
      </w:r>
    </w:p>
    <w:p w14:paraId="4A56AE8A">
      <w:pPr>
        <w:spacing w:line="560" w:lineRule="exact"/>
        <w:ind w:firstLine="480"/>
        <w:jc w:val="left"/>
        <w:rPr>
          <w:rFonts w:hint="eastAsia" w:ascii="宋体" w:hAnsi="宋体" w:cs="宋体"/>
          <w:sz w:val="24"/>
          <w:szCs w:val="24"/>
        </w:rPr>
      </w:pPr>
      <w:r>
        <w:rPr>
          <w:rFonts w:hint="eastAsia" w:ascii="宋体" w:hAnsi="宋体" w:cs="宋体"/>
          <w:sz w:val="24"/>
          <w:szCs w:val="24"/>
        </w:rPr>
        <w:t>2.供方负责向需方提供在电话及网络在线技术支持服务。</w:t>
      </w:r>
    </w:p>
    <w:p w14:paraId="723DE5E0">
      <w:pPr>
        <w:spacing w:line="560" w:lineRule="exact"/>
        <w:ind w:firstLine="480"/>
        <w:jc w:val="left"/>
        <w:rPr>
          <w:rFonts w:hint="eastAsia" w:ascii="宋体" w:hAnsi="宋体" w:cs="宋体"/>
          <w:sz w:val="24"/>
          <w:szCs w:val="24"/>
        </w:rPr>
      </w:pPr>
    </w:p>
    <w:p w14:paraId="72C920D4">
      <w:pPr>
        <w:spacing w:line="360" w:lineRule="auto"/>
        <w:ind w:firstLine="480"/>
        <w:jc w:val="left"/>
        <w:rPr>
          <w:rFonts w:hint="eastAsia" w:ascii="宋体" w:hAnsi="宋体" w:cs="宋体"/>
          <w:b/>
          <w:sz w:val="24"/>
          <w:szCs w:val="24"/>
          <w:lang w:val="en-US" w:eastAsia="zh-CN"/>
        </w:rPr>
      </w:pPr>
      <w:r>
        <w:rPr>
          <w:rFonts w:hint="eastAsia" w:ascii="宋体" w:hAnsi="宋体" w:cs="宋体"/>
          <w:b/>
          <w:sz w:val="24"/>
          <w:szCs w:val="24"/>
          <w:lang w:val="en-US" w:eastAsia="zh-CN"/>
        </w:rPr>
        <w:t>六、设备清单</w:t>
      </w:r>
    </w:p>
    <w:p w14:paraId="2D3FBDE0">
      <w:pPr>
        <w:spacing w:line="360" w:lineRule="auto"/>
        <w:ind w:firstLine="480"/>
        <w:jc w:val="left"/>
        <w:rPr>
          <w:rFonts w:hint="default" w:ascii="宋体" w:hAnsi="宋体" w:cs="宋体"/>
          <w:b/>
          <w:sz w:val="24"/>
          <w:szCs w:val="24"/>
          <w:lang w:val="en-US" w:eastAsia="zh-CN"/>
        </w:rPr>
      </w:pPr>
    </w:p>
    <w:tbl>
      <w:tblPr>
        <w:tblStyle w:val="12"/>
        <w:tblW w:w="1000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88"/>
        <w:gridCol w:w="3630"/>
        <w:gridCol w:w="1867"/>
        <w:gridCol w:w="877"/>
        <w:gridCol w:w="756"/>
        <w:gridCol w:w="1991"/>
      </w:tblGrid>
      <w:tr w14:paraId="76414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75785F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3630" w:type="dxa"/>
            <w:tcBorders>
              <w:top w:val="single" w:color="000000" w:sz="4" w:space="0"/>
              <w:left w:val="single" w:color="000000" w:sz="4" w:space="0"/>
              <w:bottom w:val="single" w:color="000000" w:sz="4" w:space="0"/>
              <w:right w:val="single" w:color="000000" w:sz="4" w:space="0"/>
            </w:tcBorders>
            <w:noWrap/>
            <w:vAlign w:val="center"/>
          </w:tcPr>
          <w:p w14:paraId="2E4266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产品名称</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271894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型号规格</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133804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DC43F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75A0F4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34C1F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12A14C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w:t>
            </w:r>
          </w:p>
        </w:tc>
        <w:tc>
          <w:tcPr>
            <w:tcW w:w="3630" w:type="dxa"/>
            <w:tcBorders>
              <w:top w:val="single" w:color="000000" w:sz="4" w:space="0"/>
              <w:left w:val="single" w:color="000000" w:sz="4" w:space="0"/>
              <w:bottom w:val="single" w:color="000000" w:sz="4" w:space="0"/>
              <w:right w:val="single" w:color="000000" w:sz="4" w:space="0"/>
            </w:tcBorders>
            <w:noWrap/>
            <w:vAlign w:val="center"/>
          </w:tcPr>
          <w:p w14:paraId="79E985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气体灭火装置部分</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0720DA8C">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1C656681">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A18B994">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2EB2C60A">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1"/>
                <w:szCs w:val="21"/>
                <w:u w:val="none"/>
              </w:rPr>
            </w:pPr>
          </w:p>
        </w:tc>
      </w:tr>
      <w:tr w14:paraId="03030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01872C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557200E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柜式灭火装置（包含柜子、储存瓶、压力开关、连接管、电磁阀、喷嘴等。）</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751EEB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GQQ120L/2.5</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3AF28F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套</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1E2C9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44DEA17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43A61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6B4A80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11D2044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七氟丙烷m灭火药剂</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746995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HFC-227ea</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793F0F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kg</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28403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433</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58AC93A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34A64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0CFBD6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43B6D39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机械泄压口</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3683A1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XJXY-0.32-J</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528F8B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4433E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0CDFFE2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lang w:eastAsia="zh"/>
                <w:woUserID w:val="2"/>
              </w:rPr>
            </w:pPr>
            <w:r>
              <w:rPr>
                <w:rFonts w:hint="eastAsia" w:ascii="宋体" w:hAnsi="宋体" w:eastAsia="宋体" w:cs="宋体"/>
                <w:i w:val="0"/>
                <w:iCs w:val="0"/>
                <w:color w:val="000000"/>
                <w:sz w:val="22"/>
                <w:szCs w:val="22"/>
                <w:u w:val="none"/>
                <w:lang w:eastAsia="zh"/>
                <w:woUserID w:val="2"/>
              </w:rPr>
              <w:t>在玻璃窗上开孔安装机械泄压口</w:t>
            </w:r>
          </w:p>
        </w:tc>
      </w:tr>
      <w:tr w14:paraId="20239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16216E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二</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0CF617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自动报警联动控制部分</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7B86D9E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72F90CF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0AB2B1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4225A14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2F275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44EA43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0DDA516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气体灭火控制器（双区型）</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33F3AE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JB-QBL-QM220</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3A11E3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3CA92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2C88BF4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lang w:eastAsia="zh"/>
                <w:woUserID w:val="2"/>
              </w:rPr>
            </w:pPr>
            <w:r>
              <w:rPr>
                <w:rFonts w:hint="eastAsia" w:ascii="宋体" w:hAnsi="宋体" w:eastAsia="宋体" w:cs="宋体"/>
                <w:i w:val="0"/>
                <w:iCs w:val="0"/>
                <w:color w:val="000000"/>
                <w:sz w:val="22"/>
                <w:szCs w:val="22"/>
                <w:u w:val="none"/>
                <w:lang w:eastAsia="zh"/>
                <w:woUserID w:val="2"/>
              </w:rPr>
              <w:t>放置在图书馆一楼</w:t>
            </w:r>
          </w:p>
        </w:tc>
      </w:tr>
      <w:tr w14:paraId="31389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1D8500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5FE4B15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放气指示灯</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117611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QM-ZSD-02</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73CE27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B72D7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328AFEF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00DA7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6234AC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556B749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紧急启动按钮</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442DCF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QM-AN-01</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052040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4E67C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50A6A28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6ED32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137931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2131F4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消防警铃</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7A4473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24v-6型</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2B241E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75402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4D0ABF5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1902F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7581BA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4147853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声光报警器</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1E9532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SG-A92</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4D26B6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9EFCC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439071A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698CA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403929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15A09F7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烟感探测器</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794749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JTY-GD-A30</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0041FA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8C270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0ECE115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66CC2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0D2E82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11310E1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温感探测器</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165C8D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JTY-GD-A20</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433560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DA475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5D11A9E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413AB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26033D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740A3C2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金属线管</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5DF6AF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DN25*1.2</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6C8C5E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70470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620</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29DC206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50497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0A89F1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06E7AC8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阻燃电线</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7EB141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ZR-BV1.5</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012C6E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BD5E7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540</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10CB3FC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64734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2860A7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103A1B4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阻燃电线</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0BBC49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ZR-RVS2*1.5</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5563CF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1BE65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460</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395B347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30139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4690EE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78429DF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阻燃电线</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5CEF59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ZR-BV2.5</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6C4A2A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9A768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2692DE3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202F2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0E2F33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3AF4D6B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信号监测模块（引至消控中心）</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7186709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35FDB5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14629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991" w:type="dxa"/>
            <w:tcBorders>
              <w:top w:val="single" w:color="000000" w:sz="4" w:space="0"/>
              <w:left w:val="single" w:color="000000" w:sz="4" w:space="0"/>
              <w:bottom w:val="single" w:color="000000" w:sz="4" w:space="0"/>
              <w:right w:val="single" w:color="000000" w:sz="4" w:space="0"/>
            </w:tcBorders>
            <w:noWrap w:val="0"/>
            <w:vAlign w:val="center"/>
          </w:tcPr>
          <w:p w14:paraId="54A0F70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2D56C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0248BF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3EE921D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信号监测线敷设</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751D36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ZR-RVS 8*1.5</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4D8BB4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D2626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w:t>
            </w:r>
          </w:p>
        </w:tc>
        <w:tc>
          <w:tcPr>
            <w:tcW w:w="1991" w:type="dxa"/>
            <w:tcBorders>
              <w:top w:val="single" w:color="000000" w:sz="4" w:space="0"/>
              <w:left w:val="single" w:color="000000" w:sz="4" w:space="0"/>
              <w:bottom w:val="single" w:color="000000" w:sz="4" w:space="0"/>
              <w:right w:val="single" w:color="000000" w:sz="4" w:space="0"/>
            </w:tcBorders>
            <w:noWrap w:val="0"/>
            <w:vAlign w:val="center"/>
          </w:tcPr>
          <w:p w14:paraId="03977A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引至综合楼消控中心</w:t>
            </w:r>
          </w:p>
        </w:tc>
      </w:tr>
      <w:tr w14:paraId="164F6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648593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209AA44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模块箱</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7A64FA4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394269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19463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991" w:type="dxa"/>
            <w:tcBorders>
              <w:top w:val="single" w:color="000000" w:sz="4" w:space="0"/>
              <w:left w:val="single" w:color="000000" w:sz="4" w:space="0"/>
              <w:bottom w:val="single" w:color="000000" w:sz="4" w:space="0"/>
              <w:right w:val="single" w:color="000000" w:sz="4" w:space="0"/>
            </w:tcBorders>
            <w:noWrap w:val="0"/>
            <w:vAlign w:val="center"/>
          </w:tcPr>
          <w:p w14:paraId="3A2271F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6C16E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5D083C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0767FB4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系统安装、调试</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53F47BE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21FEBB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80845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991" w:type="dxa"/>
            <w:tcBorders>
              <w:top w:val="single" w:color="000000" w:sz="4" w:space="0"/>
              <w:left w:val="single" w:color="000000" w:sz="4" w:space="0"/>
              <w:bottom w:val="single" w:color="000000" w:sz="4" w:space="0"/>
              <w:right w:val="single" w:color="000000" w:sz="4" w:space="0"/>
            </w:tcBorders>
            <w:noWrap w:val="0"/>
            <w:vAlign w:val="center"/>
          </w:tcPr>
          <w:p w14:paraId="7332505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3FCA7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45803B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三</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22CA89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配套设施部分及措施费</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729E602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373ABB0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F177CB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2B20633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796F8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16BCCE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7C1FC98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安全出口灯具</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7DACB4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44E3A9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D7B9E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32BF5C1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28511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7B0BA9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04A0D63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应急照明灯具</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6CC73D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2C72ED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E0D01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4974546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5BA06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25B277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5CE665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排气扇更换（与气体灭火系统联动）</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3412391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5DD5B3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04FE6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991" w:type="dxa"/>
            <w:tcBorders>
              <w:top w:val="single" w:color="000000" w:sz="4" w:space="0"/>
              <w:left w:val="single" w:color="000000" w:sz="4" w:space="0"/>
              <w:bottom w:val="single" w:color="000000" w:sz="4" w:space="0"/>
              <w:right w:val="single" w:color="000000" w:sz="4" w:space="0"/>
            </w:tcBorders>
            <w:noWrap w:val="0"/>
            <w:vAlign w:val="center"/>
          </w:tcPr>
          <w:p w14:paraId="6F8C900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6EE1F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3D3D05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3B7FA4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输入输出模块</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1A2C466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3A57C7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CD268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991" w:type="dxa"/>
            <w:tcBorders>
              <w:top w:val="single" w:color="000000" w:sz="4" w:space="0"/>
              <w:left w:val="single" w:color="000000" w:sz="4" w:space="0"/>
              <w:bottom w:val="single" w:color="000000" w:sz="4" w:space="0"/>
              <w:right w:val="single" w:color="000000" w:sz="4" w:space="0"/>
            </w:tcBorders>
            <w:noWrap w:val="0"/>
            <w:vAlign w:val="center"/>
          </w:tcPr>
          <w:p w14:paraId="298CED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火警时，切断电源，关闭防火阀</w:t>
            </w:r>
          </w:p>
        </w:tc>
      </w:tr>
      <w:tr w14:paraId="4FB6F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1F8F37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08395D4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防火阀（电动常开）</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19E3C4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电动关闭</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44493D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36E9B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991" w:type="dxa"/>
            <w:tcBorders>
              <w:top w:val="single" w:color="000000" w:sz="4" w:space="0"/>
              <w:left w:val="single" w:color="000000" w:sz="4" w:space="0"/>
              <w:bottom w:val="single" w:color="000000" w:sz="4" w:space="0"/>
              <w:right w:val="single" w:color="000000" w:sz="4" w:space="0"/>
            </w:tcBorders>
            <w:noWrap w:val="0"/>
            <w:vAlign w:val="center"/>
          </w:tcPr>
          <w:p w14:paraId="2EC2F9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lang w:eastAsia="zh"/>
                <w:woUserID w:val="2"/>
              </w:rPr>
            </w:pPr>
            <w:r>
              <w:rPr>
                <w:rFonts w:hint="eastAsia" w:ascii="宋体" w:hAnsi="宋体" w:eastAsia="宋体" w:cs="宋体"/>
                <w:i w:val="0"/>
                <w:iCs w:val="0"/>
                <w:color w:val="000000"/>
                <w:kern w:val="0"/>
                <w:sz w:val="22"/>
                <w:szCs w:val="22"/>
                <w:u w:val="none"/>
                <w:lang w:val="en-US" w:eastAsia="zh-CN" w:bidi="ar"/>
              </w:rPr>
              <w:t>排气扇位置</w:t>
            </w:r>
          </w:p>
        </w:tc>
      </w:tr>
      <w:tr w14:paraId="46BC2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39895A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1AE3902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模块箱</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6D8C1D9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372C5A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FCA4F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0DE55EF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2D125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1A2BA0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36AA6FD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警示牌</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2E9DFB6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436BC2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19B5F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201CABD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00515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1D5D5E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49AD551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窗户位置防盗网拆除</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36724E4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218637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处</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96816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5316F33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3D993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77DBF7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5D311CA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窗户位置内部封堵</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1A0A819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3F94B6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26C31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1E1CC4B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46C48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44AE83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22CA029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窗户封堵位置刷白</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1E2E338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3D62E8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5BE83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5204C6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2遍</w:t>
            </w:r>
          </w:p>
        </w:tc>
      </w:tr>
      <w:tr w14:paraId="0931B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584FF3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7E70D25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防火门拆除</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6D88A63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69E3FD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樘</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9A25E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494507C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r>
      <w:tr w14:paraId="61542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1DC84F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146B2E8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防火门安装</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4D1827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甲级</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7E01EB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樘</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D1D3B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35D0BD4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lang w:eastAsia="zh"/>
                <w:woUserID w:val="2"/>
              </w:rPr>
            </w:pPr>
            <w:r>
              <w:rPr>
                <w:rFonts w:hint="eastAsia" w:ascii="宋体" w:hAnsi="宋体" w:eastAsia="宋体" w:cs="宋体"/>
                <w:i w:val="0"/>
                <w:iCs w:val="0"/>
                <w:color w:val="000000"/>
                <w:sz w:val="22"/>
                <w:szCs w:val="22"/>
                <w:u w:val="none"/>
                <w:lang w:eastAsia="zh"/>
                <w:woUserID w:val="2"/>
              </w:rPr>
              <w:t>防火门开门方向：向办公室方向开</w:t>
            </w:r>
          </w:p>
        </w:tc>
      </w:tr>
      <w:tr w14:paraId="6EE53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4708B6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1D6C722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安全文明施工措施费</w:t>
            </w:r>
          </w:p>
        </w:tc>
        <w:tc>
          <w:tcPr>
            <w:tcW w:w="1867" w:type="dxa"/>
            <w:tcBorders>
              <w:top w:val="single" w:color="000000" w:sz="4" w:space="0"/>
              <w:left w:val="single" w:color="000000" w:sz="4" w:space="0"/>
              <w:bottom w:val="single" w:color="000000" w:sz="4" w:space="0"/>
              <w:right w:val="single" w:color="000000" w:sz="4" w:space="0"/>
            </w:tcBorders>
            <w:noWrap w:val="0"/>
            <w:vAlign w:val="center"/>
          </w:tcPr>
          <w:p w14:paraId="5E48D64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44D712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FB20B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991" w:type="dxa"/>
            <w:tcBorders>
              <w:top w:val="single" w:color="000000" w:sz="4" w:space="0"/>
              <w:left w:val="single" w:color="000000" w:sz="4" w:space="0"/>
              <w:bottom w:val="single" w:color="000000" w:sz="4" w:space="0"/>
              <w:right w:val="single" w:color="000000" w:sz="4" w:space="0"/>
            </w:tcBorders>
            <w:noWrap/>
            <w:vAlign w:val="center"/>
          </w:tcPr>
          <w:p w14:paraId="5CBB79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施工保护</w:t>
            </w:r>
          </w:p>
        </w:tc>
      </w:tr>
    </w:tbl>
    <w:p w14:paraId="2ECAF64D">
      <w:pPr>
        <w:spacing w:line="560" w:lineRule="exact"/>
        <w:ind w:firstLine="480"/>
        <w:jc w:val="left"/>
        <w:rPr>
          <w:rFonts w:hint="eastAsia" w:ascii="宋体" w:hAnsi="宋体" w:cs="宋体"/>
          <w:sz w:val="24"/>
          <w:szCs w:val="24"/>
        </w:rPr>
        <w:sectPr>
          <w:headerReference r:id="rId4" w:type="first"/>
          <w:headerReference r:id="rId3" w:type="even"/>
          <w:footerReference r:id="rId5" w:type="even"/>
          <w:pgSz w:w="12240" w:h="15840"/>
          <w:pgMar w:top="1440" w:right="1800" w:bottom="1440" w:left="1800" w:header="720" w:footer="720" w:gutter="0"/>
          <w:cols w:space="720" w:num="1"/>
        </w:sectPr>
      </w:pPr>
    </w:p>
    <w:p w14:paraId="6571E8FF">
      <w:pPr>
        <w:keepNext w:val="0"/>
        <w:keepLines w:val="0"/>
        <w:widowControl w:val="0"/>
        <w:suppressLineNumbers w:val="0"/>
        <w:spacing w:before="0" w:beforeAutospacing="0" w:after="0" w:afterAutospacing="0" w:line="360" w:lineRule="auto"/>
        <w:ind w:left="0" w:right="0" w:firstLine="2530" w:firstLineChars="900"/>
        <w:jc w:val="both"/>
        <w:rPr>
          <w:rFonts w:hint="eastAsia" w:ascii="宋体" w:hAnsi="宋体" w:eastAsia="宋体" w:cs="宋体"/>
          <w:kern w:val="2"/>
          <w:sz w:val="28"/>
          <w:szCs w:val="28"/>
        </w:rPr>
      </w:pPr>
      <w:r>
        <w:rPr>
          <w:rFonts w:hint="default" w:ascii="Times New Roman" w:hAnsi="Times New Roman" w:eastAsia="宋体" w:cs="Times New Roman"/>
          <w:b/>
          <w:bCs w:val="0"/>
          <w:kern w:val="2"/>
          <w:sz w:val="28"/>
          <w:szCs w:val="28"/>
          <w:lang w:val="en-US" w:eastAsia="zh-CN" w:bidi="ar"/>
        </w:rPr>
        <w:t xml:space="preserve"> </w:t>
      </w:r>
      <w:r>
        <w:rPr>
          <w:rFonts w:hint="eastAsia" w:ascii="宋体" w:hAnsi="宋体" w:eastAsia="宋体" w:cs="宋体"/>
          <w:b/>
          <w:bCs w:val="0"/>
          <w:color w:val="000000"/>
          <w:kern w:val="0"/>
          <w:sz w:val="28"/>
          <w:szCs w:val="28"/>
          <w:lang w:val="en-US" w:eastAsia="zh-CN" w:bidi="ar"/>
        </w:rPr>
        <w:t>第四部分   评标办法与细则</w:t>
      </w:r>
    </w:p>
    <w:p w14:paraId="25EEFA89">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一、概述</w:t>
      </w:r>
    </w:p>
    <w:p w14:paraId="336723A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本次采购采用招标方式进行，评标由依法组成的评标委员会负责完成。</w:t>
      </w:r>
    </w:p>
    <w:p w14:paraId="5D76DB5D">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本次招标的评标采用综合评分法。评标分三个阶段：第一阶段资格符合性审查，资格符合性审查合格的投标才进入后续评审，资格符合性审查不合格的投标为无效投标，不进入后续评审；第二阶段为商务技术评审，若评标委员会认定某投标未对招标文件作实质性响应，则该投标被视为无效投标，不进行打分，且不进入后续评审；第三阶段为价格评审。</w:t>
      </w:r>
    </w:p>
    <w:p w14:paraId="7415A653">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参与评标工作的所有人员必须遵守《中华人民共和国招标投标法》、《中华人民共和国政府采购法》及有关招标的政令法规的规定，以确保评标的公平、公正。</w:t>
      </w:r>
    </w:p>
    <w:p w14:paraId="31469D3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二、评标委员会</w:t>
      </w:r>
    </w:p>
    <w:p w14:paraId="0E69746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1．评标委员会组成：本次评标的评标委员会依法由广州美术学院采购中心从校内评审专家库中随机抽选2位评委和用户授权代表1人组成。</w:t>
      </w:r>
    </w:p>
    <w:p w14:paraId="41D6C8E6">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2．评委守则：为体现评标工作的公平、公正，保证评标工作的顺利进行，特制定如下评委守则，要求全体评委共同遵守。</w:t>
      </w:r>
    </w:p>
    <w:p w14:paraId="4757A36A">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（1）遵守《中华人民共和国招标投标法》、《中华人民共和国政府采购法》、《中华人民共和国保密法》等项法律及国家有关部门关于招标的政令法规，维护国家利益。</w:t>
      </w:r>
    </w:p>
    <w:p w14:paraId="0D44D84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（2）服从评标组织安排，按时参加评标，履行评委职责。</w:t>
      </w:r>
    </w:p>
    <w:p w14:paraId="3C677E6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根据有关法律法规中的评标原则，依据招标文件和投标文件进行评标。</w:t>
      </w:r>
    </w:p>
    <w:p w14:paraId="6682112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（3）认真地履行职责，遵守职业道德，排除干扰，对所提出的评审意见负责。如与投标人有利害关系，应主动回避，以免妨碍评标结果的公正性。</w:t>
      </w:r>
    </w:p>
    <w:p w14:paraId="21A9B62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必须对评标情况严加保密，不得私下与投标人接触，也不得以任何形式透露评审、比较及中标候选人的推荐等与评标有关的情况，更不得有接受投标人吃请、活动、馈赠或利益等涉嫌不公行为，如有发生将追究其法律责任。</w:t>
      </w:r>
    </w:p>
    <w:p w14:paraId="27D3BFC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3．职责</w:t>
      </w:r>
    </w:p>
    <w:p w14:paraId="1F3D8EA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评标委员会负责全部的评审工作，对评标中的重大问题通过投票决定。任何人不得干预评标委员会的工作。评标委员会下设评标工作小组，主要由采购人、用户、相关单位工作人员组成，负责整理、记录等工作。</w:t>
      </w:r>
    </w:p>
    <w:p w14:paraId="7936CD03">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三．评标程序</w:t>
      </w:r>
    </w:p>
    <w:p w14:paraId="76AE1DD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（一）</w:t>
      </w:r>
      <w:r>
        <w:rPr>
          <w:rFonts w:hint="eastAsia" w:ascii="宋体" w:hAnsi="宋体" w:eastAsia="宋体" w:cs="宋体"/>
          <w:kern w:val="2"/>
          <w:sz w:val="21"/>
          <w:szCs w:val="21"/>
          <w:lang w:val="en-US" w:eastAsia="zh-CN" w:bidi="ar"/>
        </w:rPr>
        <w:tab/>
      </w:r>
      <w:r>
        <w:rPr>
          <w:rFonts w:hint="eastAsia" w:ascii="宋体" w:hAnsi="宋体" w:eastAsia="宋体" w:cs="宋体"/>
          <w:kern w:val="2"/>
          <w:sz w:val="21"/>
          <w:szCs w:val="21"/>
          <w:lang w:val="en-US" w:eastAsia="zh-CN" w:bidi="ar"/>
        </w:rPr>
        <w:t>投标人资格、符合性审查</w:t>
      </w:r>
    </w:p>
    <w:p w14:paraId="3974E27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w:t>
      </w:r>
      <w:r>
        <w:rPr>
          <w:rFonts w:hint="eastAsia" w:ascii="宋体" w:hAnsi="宋体" w:eastAsia="宋体" w:cs="宋体"/>
          <w:kern w:val="2"/>
          <w:sz w:val="21"/>
          <w:szCs w:val="21"/>
          <w:lang w:val="en-US" w:eastAsia="zh-CN" w:bidi="ar"/>
        </w:rPr>
        <w:tab/>
      </w:r>
      <w:r>
        <w:rPr>
          <w:rFonts w:hint="eastAsia" w:ascii="宋体" w:hAnsi="宋体" w:eastAsia="宋体" w:cs="宋体"/>
          <w:kern w:val="2"/>
          <w:sz w:val="21"/>
          <w:szCs w:val="21"/>
          <w:lang w:val="en-US" w:eastAsia="zh-CN" w:bidi="ar"/>
        </w:rPr>
        <w:t>评标委员会根据《资格性审查表》内容逐条对投标文件的资格性进行评审，审查每份投标文件是否满足投标人资格要求。</w:t>
      </w:r>
    </w:p>
    <w:p w14:paraId="2277BDB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w:t>
      </w:r>
      <w:r>
        <w:rPr>
          <w:rFonts w:hint="eastAsia" w:ascii="宋体" w:hAnsi="宋体" w:eastAsia="宋体" w:cs="宋体"/>
          <w:kern w:val="2"/>
          <w:sz w:val="21"/>
          <w:szCs w:val="21"/>
          <w:lang w:val="en-US" w:eastAsia="zh-CN" w:bidi="ar"/>
        </w:rPr>
        <w:tab/>
      </w:r>
      <w:r>
        <w:rPr>
          <w:rFonts w:hint="eastAsia" w:ascii="宋体" w:hAnsi="宋体" w:eastAsia="宋体" w:cs="宋体"/>
          <w:kern w:val="2"/>
          <w:sz w:val="21"/>
          <w:szCs w:val="21"/>
          <w:lang w:val="en-US" w:eastAsia="zh-CN" w:bidi="ar"/>
        </w:rPr>
        <w:t>评标委员会根据《符合性审查表》内容逐条对投标文件进行符合性评审，审查每份投标文件是否符合招标文件的商务、技术等实质性要求。对符合性评审认定意见不一致的，评标委员会按简单多数原则表决决定。</w:t>
      </w:r>
    </w:p>
    <w:p w14:paraId="04F909C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w:t>
      </w:r>
      <w:r>
        <w:rPr>
          <w:rFonts w:hint="eastAsia" w:ascii="宋体" w:hAnsi="宋体" w:eastAsia="宋体" w:cs="宋体"/>
          <w:kern w:val="2"/>
          <w:sz w:val="21"/>
          <w:szCs w:val="21"/>
          <w:lang w:val="en-US" w:eastAsia="zh-CN" w:bidi="ar"/>
        </w:rPr>
        <w:tab/>
      </w:r>
      <w:r>
        <w:rPr>
          <w:rFonts w:hint="eastAsia" w:ascii="宋体" w:hAnsi="宋体" w:eastAsia="宋体" w:cs="宋体"/>
          <w:kern w:val="2"/>
          <w:sz w:val="21"/>
          <w:szCs w:val="21"/>
          <w:lang w:val="en-US" w:eastAsia="zh-CN" w:bidi="ar"/>
        </w:rPr>
        <w:t>只有全部满足《资格性审查表》及《符合性审查表》所列各项要求的投标才是有效投标，只要不满足上述所列各项要求之一的，将被认定为无效投标。无效投标不能进入技术、商务及价格评审。</w:t>
      </w:r>
    </w:p>
    <w:p w14:paraId="37DBCB26">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（二）</w:t>
      </w:r>
      <w:r>
        <w:rPr>
          <w:rFonts w:hint="eastAsia" w:ascii="宋体" w:hAnsi="宋体" w:eastAsia="宋体" w:cs="宋体"/>
          <w:kern w:val="2"/>
          <w:sz w:val="21"/>
          <w:szCs w:val="21"/>
          <w:lang w:val="en-US" w:eastAsia="zh-CN" w:bidi="ar"/>
        </w:rPr>
        <w:tab/>
      </w:r>
      <w:r>
        <w:rPr>
          <w:rFonts w:hint="eastAsia" w:ascii="宋体" w:hAnsi="宋体" w:eastAsia="宋体" w:cs="宋体"/>
          <w:kern w:val="2"/>
          <w:sz w:val="21"/>
          <w:szCs w:val="21"/>
          <w:lang w:val="en-US" w:eastAsia="zh-CN" w:bidi="ar"/>
        </w:rPr>
        <w:t>技术评审</w:t>
      </w:r>
    </w:p>
    <w:p w14:paraId="33C69FDA">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由评委对所有有效投标文件的技术响应方案进行审核和分析。</w:t>
      </w:r>
    </w:p>
    <w:p w14:paraId="5B1196F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（三）</w:t>
      </w:r>
      <w:r>
        <w:rPr>
          <w:rFonts w:hint="eastAsia" w:ascii="宋体" w:hAnsi="宋体" w:eastAsia="宋体" w:cs="宋体"/>
          <w:kern w:val="2"/>
          <w:sz w:val="21"/>
          <w:szCs w:val="21"/>
          <w:lang w:val="en-US" w:eastAsia="zh-CN" w:bidi="ar"/>
        </w:rPr>
        <w:tab/>
      </w:r>
      <w:r>
        <w:rPr>
          <w:rFonts w:hint="eastAsia" w:ascii="宋体" w:hAnsi="宋体" w:eastAsia="宋体" w:cs="宋体"/>
          <w:kern w:val="2"/>
          <w:sz w:val="21"/>
          <w:szCs w:val="21"/>
          <w:lang w:val="en-US" w:eastAsia="zh-CN" w:bidi="ar"/>
        </w:rPr>
        <w:t>商务评审</w:t>
      </w:r>
    </w:p>
    <w:p w14:paraId="42000D5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由评委对所有有效投标文件的商务响应进行审核和评价。</w:t>
      </w:r>
    </w:p>
    <w:p w14:paraId="1E7B234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（四）</w:t>
      </w:r>
      <w:r>
        <w:rPr>
          <w:rFonts w:hint="eastAsia" w:ascii="宋体" w:hAnsi="宋体" w:eastAsia="宋体" w:cs="宋体"/>
          <w:kern w:val="2"/>
          <w:sz w:val="21"/>
          <w:szCs w:val="21"/>
          <w:lang w:val="en-US" w:eastAsia="zh-CN" w:bidi="ar"/>
        </w:rPr>
        <w:tab/>
      </w:r>
      <w:r>
        <w:rPr>
          <w:rFonts w:hint="eastAsia" w:ascii="宋体" w:hAnsi="宋体" w:eastAsia="宋体" w:cs="宋体"/>
          <w:kern w:val="2"/>
          <w:sz w:val="21"/>
          <w:szCs w:val="21"/>
          <w:lang w:val="en-US" w:eastAsia="zh-CN" w:bidi="ar"/>
        </w:rPr>
        <w:t>价格评审</w:t>
      </w:r>
    </w:p>
    <w:p w14:paraId="524B07C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w:t>
      </w:r>
      <w:r>
        <w:rPr>
          <w:rFonts w:hint="eastAsia" w:ascii="宋体" w:hAnsi="宋体" w:eastAsia="宋体" w:cs="宋体"/>
          <w:kern w:val="2"/>
          <w:sz w:val="21"/>
          <w:szCs w:val="21"/>
          <w:lang w:val="en-US" w:eastAsia="zh-CN" w:bidi="ar"/>
        </w:rPr>
        <w:tab/>
      </w:r>
      <w:r>
        <w:rPr>
          <w:rFonts w:hint="eastAsia" w:ascii="宋体" w:hAnsi="宋体" w:eastAsia="宋体" w:cs="宋体"/>
          <w:kern w:val="2"/>
          <w:sz w:val="21"/>
          <w:szCs w:val="21"/>
          <w:lang w:val="en-US" w:eastAsia="zh-CN" w:bidi="ar"/>
        </w:rPr>
        <w:t>投标报价错误的处理原则：</w:t>
      </w:r>
    </w:p>
    <w:p w14:paraId="3465FA0F">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投标文件中开标一览表（报价表）内容与投标文件中相应内容不一致的，以开标一览表（报价表）为准；大写金额和小写金额不一致的，以大写金额为准；单价金额小数点或者百分比有明显错位的，以开标一览表的总价为准，并修改单价；总价金额与按单价汇总金额不一致的，以单价金额计算结果为准。同时出现上述两种以上不一致的，按照前款规定的顺序修正。</w:t>
      </w:r>
    </w:p>
    <w:p w14:paraId="7AD221E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（2）以上修正后的报价应当经投标人采用书面形式，并加盖公章，或者由法定代表人或其授权的代表签字确认，并对投标人产生约束力，投标人不确认的，其投标无效。</w:t>
      </w:r>
    </w:p>
    <w:p w14:paraId="46619465">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w:t>
      </w:r>
      <w:r>
        <w:rPr>
          <w:rFonts w:hint="eastAsia" w:ascii="宋体" w:hAnsi="宋体" w:eastAsia="宋体" w:cs="宋体"/>
          <w:kern w:val="2"/>
          <w:sz w:val="21"/>
          <w:szCs w:val="21"/>
          <w:lang w:val="en-US" w:eastAsia="zh-CN" w:bidi="ar"/>
        </w:rPr>
        <w:tab/>
      </w:r>
      <w:r>
        <w:rPr>
          <w:rFonts w:hint="eastAsia" w:ascii="宋体" w:hAnsi="宋体" w:eastAsia="宋体" w:cs="宋体"/>
          <w:kern w:val="2"/>
          <w:sz w:val="21"/>
          <w:szCs w:val="21"/>
          <w:lang w:val="en-US" w:eastAsia="zh-CN" w:bidi="ar"/>
        </w:rPr>
        <w:t>计算价格评分：价格分采用低价优先法计算，即满足招标文件要求（通过资格性审查和符合性审查）且投标价格最低的投标价(指修正及价格扣除后报价，下同)为评标基准价。其他投标人的价格分统一按照下列公式计算：</w:t>
      </w:r>
    </w:p>
    <w:p w14:paraId="3F483C6D">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ab/>
      </w:r>
      <w:r>
        <w:rPr>
          <w:rFonts w:hint="eastAsia" w:ascii="宋体" w:hAnsi="宋体" w:eastAsia="宋体" w:cs="宋体"/>
          <w:kern w:val="2"/>
          <w:sz w:val="21"/>
          <w:szCs w:val="21"/>
          <w:lang w:val="en-US" w:eastAsia="zh-CN" w:bidi="ar"/>
        </w:rPr>
        <w:t>评标基准价＝实质性响应招标文件要求的投标中的最低投标总价</w:t>
      </w:r>
    </w:p>
    <w:p w14:paraId="51704E64">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ab/>
      </w:r>
      <w:r>
        <w:rPr>
          <w:rFonts w:hint="eastAsia" w:ascii="宋体" w:hAnsi="宋体" w:eastAsia="宋体" w:cs="宋体"/>
          <w:kern w:val="2"/>
          <w:sz w:val="21"/>
          <w:szCs w:val="21"/>
          <w:lang w:val="en-US" w:eastAsia="zh-CN" w:bidi="ar"/>
        </w:rPr>
        <w:t>投标人价格得分＝评标基准价/投标报价×价格分</w:t>
      </w:r>
    </w:p>
    <w:p w14:paraId="22AA74C9">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（五）</w:t>
      </w:r>
      <w:r>
        <w:rPr>
          <w:rFonts w:hint="eastAsia" w:ascii="宋体" w:hAnsi="宋体" w:eastAsia="宋体" w:cs="宋体"/>
          <w:kern w:val="2"/>
          <w:sz w:val="21"/>
          <w:szCs w:val="21"/>
          <w:lang w:val="en-US" w:eastAsia="zh-CN" w:bidi="ar"/>
        </w:rPr>
        <w:tab/>
      </w:r>
      <w:r>
        <w:rPr>
          <w:rFonts w:hint="eastAsia" w:ascii="宋体" w:hAnsi="宋体" w:eastAsia="宋体" w:cs="宋体"/>
          <w:kern w:val="2"/>
          <w:sz w:val="21"/>
          <w:szCs w:val="21"/>
          <w:lang w:val="en-US" w:eastAsia="zh-CN" w:bidi="ar"/>
        </w:rPr>
        <w:t>评标总得分及统计：</w:t>
      </w:r>
    </w:p>
    <w:p w14:paraId="56372FD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各评委的评分的算术平均值即为该投标人的技术评分或商务评分。</w:t>
      </w:r>
    </w:p>
    <w:p w14:paraId="6B5D1EF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评标总得分=技术评分＋商务评分＋价格评分（评标总得分分值按四舍五入原则精确到小数点后两位）。</w:t>
      </w:r>
    </w:p>
    <w:p w14:paraId="0E20435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Times New Roman"/>
          <w:kern w:val="2"/>
          <w:sz w:val="21"/>
          <w:szCs w:val="21"/>
        </w:rPr>
      </w:pPr>
      <w:r>
        <w:rPr>
          <w:rFonts w:hint="eastAsia" w:ascii="宋体" w:hAnsi="宋体" w:eastAsia="宋体" w:cs="宋体"/>
          <w:kern w:val="2"/>
          <w:sz w:val="21"/>
          <w:szCs w:val="21"/>
          <w:lang w:val="en-US" w:eastAsia="zh-CN" w:bidi="ar"/>
        </w:rPr>
        <w:t>技术、商务及价格分值分配：</w:t>
      </w:r>
    </w:p>
    <w:tbl>
      <w:tblPr>
        <w:tblStyle w:val="12"/>
        <w:tblW w:w="0" w:type="auto"/>
        <w:tblInd w:w="95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2173"/>
        <w:gridCol w:w="2173"/>
        <w:gridCol w:w="2174"/>
      </w:tblGrid>
      <w:tr w14:paraId="5BEF0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00" w:hRule="atLeast"/>
        </w:trPr>
        <w:tc>
          <w:tcPr>
            <w:tcW w:w="2173" w:type="dxa"/>
            <w:tcBorders>
              <w:top w:val="single" w:color="auto" w:sz="6" w:space="0"/>
              <w:left w:val="single" w:color="auto" w:sz="4" w:space="0"/>
              <w:bottom w:val="single" w:color="auto" w:sz="6" w:space="0"/>
              <w:right w:val="single" w:color="auto" w:sz="4" w:space="0"/>
            </w:tcBorders>
            <w:shd w:val="clear" w:color="auto" w:fill="auto"/>
            <w:vAlign w:val="center"/>
          </w:tcPr>
          <w:p w14:paraId="0647BE0F">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技术评分（F1）</w:t>
            </w:r>
          </w:p>
        </w:tc>
        <w:tc>
          <w:tcPr>
            <w:tcW w:w="2173" w:type="dxa"/>
            <w:tcBorders>
              <w:top w:val="single" w:color="auto" w:sz="6" w:space="0"/>
              <w:left w:val="nil"/>
              <w:bottom w:val="single" w:color="auto" w:sz="6" w:space="0"/>
              <w:right w:val="single" w:color="auto" w:sz="4" w:space="0"/>
            </w:tcBorders>
            <w:shd w:val="clear" w:color="auto" w:fill="auto"/>
            <w:vAlign w:val="center"/>
          </w:tcPr>
          <w:p w14:paraId="6C41B460">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商务评分（F2）</w:t>
            </w:r>
          </w:p>
        </w:tc>
        <w:tc>
          <w:tcPr>
            <w:tcW w:w="2174" w:type="dxa"/>
            <w:tcBorders>
              <w:top w:val="single" w:color="auto" w:sz="6" w:space="0"/>
              <w:left w:val="single" w:color="auto" w:sz="6" w:space="0"/>
              <w:bottom w:val="single" w:color="auto" w:sz="6" w:space="0"/>
              <w:right w:val="single" w:color="auto" w:sz="6" w:space="0"/>
            </w:tcBorders>
            <w:shd w:val="clear" w:color="auto" w:fill="auto"/>
            <w:vAlign w:val="center"/>
          </w:tcPr>
          <w:p w14:paraId="64FD2A2B">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价格评分（F3）</w:t>
            </w:r>
          </w:p>
        </w:tc>
      </w:tr>
      <w:tr w14:paraId="7DDC65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00" w:hRule="atLeast"/>
        </w:trPr>
        <w:tc>
          <w:tcPr>
            <w:tcW w:w="2173" w:type="dxa"/>
            <w:tcBorders>
              <w:top w:val="single" w:color="auto" w:sz="6" w:space="0"/>
              <w:left w:val="single" w:color="auto" w:sz="4" w:space="0"/>
              <w:bottom w:val="single" w:color="auto" w:sz="6" w:space="0"/>
              <w:right w:val="single" w:color="auto" w:sz="4" w:space="0"/>
            </w:tcBorders>
            <w:shd w:val="clear" w:color="auto" w:fill="auto"/>
            <w:vAlign w:val="center"/>
          </w:tcPr>
          <w:p w14:paraId="36500264">
            <w:pPr>
              <w:keepNext w:val="0"/>
              <w:keepLines w:val="0"/>
              <w:widowControl w:val="0"/>
              <w:suppressLineNumbers w:val="0"/>
              <w:spacing w:before="0" w:beforeAutospacing="0" w:after="0" w:afterAutospacing="0" w:line="480" w:lineRule="exact"/>
              <w:ind w:left="0" w:right="0"/>
              <w:jc w:val="center"/>
              <w:rPr>
                <w:rFonts w:hint="default" w:ascii="宋体" w:hAnsi="宋体" w:eastAsia="宋体" w:cs="宋体"/>
                <w:b/>
                <w:bCs w:val="0"/>
                <w:kern w:val="2"/>
                <w:sz w:val="21"/>
                <w:szCs w:val="21"/>
                <w:lang w:val="en-US"/>
              </w:rPr>
            </w:pPr>
            <w:r>
              <w:rPr>
                <w:rFonts w:hint="eastAsia" w:ascii="宋体" w:hAnsi="宋体" w:eastAsia="宋体" w:cs="宋体"/>
                <w:b/>
                <w:bCs w:val="0"/>
                <w:kern w:val="2"/>
                <w:sz w:val="21"/>
                <w:szCs w:val="21"/>
                <w:lang w:val="en-US" w:eastAsia="zh" w:bidi="ar"/>
                <w:woUserID w:val="2"/>
              </w:rPr>
              <w:t>4</w:t>
            </w:r>
            <w:r>
              <w:rPr>
                <w:rFonts w:hint="eastAsia" w:ascii="宋体" w:hAnsi="宋体" w:eastAsia="宋体" w:cs="宋体"/>
                <w:b/>
                <w:bCs w:val="0"/>
                <w:kern w:val="2"/>
                <w:sz w:val="21"/>
                <w:szCs w:val="21"/>
                <w:lang w:val="en-US" w:eastAsia="zh-CN" w:bidi="ar"/>
              </w:rPr>
              <w:t>0</w:t>
            </w:r>
          </w:p>
        </w:tc>
        <w:tc>
          <w:tcPr>
            <w:tcW w:w="2173" w:type="dxa"/>
            <w:tcBorders>
              <w:top w:val="single" w:color="auto" w:sz="6" w:space="0"/>
              <w:left w:val="nil"/>
              <w:bottom w:val="single" w:color="auto" w:sz="6" w:space="0"/>
              <w:right w:val="single" w:color="auto" w:sz="4" w:space="0"/>
            </w:tcBorders>
            <w:shd w:val="clear" w:color="auto" w:fill="auto"/>
            <w:vAlign w:val="center"/>
          </w:tcPr>
          <w:p w14:paraId="6C586306">
            <w:pPr>
              <w:keepNext w:val="0"/>
              <w:keepLines w:val="0"/>
              <w:widowControl w:val="0"/>
              <w:suppressLineNumbers w:val="0"/>
              <w:spacing w:before="0" w:beforeAutospacing="0" w:after="0" w:afterAutospacing="0" w:line="480" w:lineRule="exact"/>
              <w:ind w:left="0" w:right="0"/>
              <w:jc w:val="center"/>
              <w:rPr>
                <w:rFonts w:hint="default" w:ascii="宋体" w:hAnsi="宋体" w:eastAsia="宋体" w:cs="宋体"/>
                <w:b/>
                <w:bCs w:val="0"/>
                <w:kern w:val="2"/>
                <w:sz w:val="21"/>
                <w:szCs w:val="21"/>
                <w:lang w:val="en-US"/>
              </w:rPr>
            </w:pPr>
            <w:r>
              <w:rPr>
                <w:rFonts w:hint="eastAsia" w:ascii="宋体" w:hAnsi="宋体" w:eastAsia="宋体" w:cs="宋体"/>
                <w:b/>
                <w:bCs w:val="0"/>
                <w:kern w:val="2"/>
                <w:sz w:val="21"/>
                <w:szCs w:val="21"/>
                <w:lang w:val="en-US" w:eastAsia="zh" w:bidi="ar"/>
                <w:woUserID w:val="2"/>
              </w:rPr>
              <w:t>3</w:t>
            </w:r>
            <w:r>
              <w:rPr>
                <w:rFonts w:hint="eastAsia" w:ascii="宋体" w:hAnsi="宋体" w:eastAsia="宋体" w:cs="宋体"/>
                <w:b/>
                <w:bCs w:val="0"/>
                <w:kern w:val="2"/>
                <w:sz w:val="21"/>
                <w:szCs w:val="21"/>
                <w:lang w:val="en-US" w:eastAsia="zh-CN" w:bidi="ar"/>
              </w:rPr>
              <w:t>0</w:t>
            </w:r>
          </w:p>
        </w:tc>
        <w:tc>
          <w:tcPr>
            <w:tcW w:w="2174" w:type="dxa"/>
            <w:tcBorders>
              <w:top w:val="single" w:color="auto" w:sz="6" w:space="0"/>
              <w:left w:val="single" w:color="auto" w:sz="6" w:space="0"/>
              <w:bottom w:val="single" w:color="auto" w:sz="6" w:space="0"/>
              <w:right w:val="single" w:color="auto" w:sz="6" w:space="0"/>
            </w:tcBorders>
            <w:shd w:val="clear" w:color="auto" w:fill="auto"/>
            <w:vAlign w:val="center"/>
          </w:tcPr>
          <w:p w14:paraId="07A99736">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b/>
                <w:bCs w:val="0"/>
                <w:kern w:val="2"/>
                <w:sz w:val="21"/>
                <w:szCs w:val="21"/>
              </w:rPr>
            </w:pPr>
            <w:r>
              <w:rPr>
                <w:rFonts w:hint="eastAsia" w:ascii="宋体" w:hAnsi="宋体" w:eastAsia="宋体" w:cs="宋体"/>
                <w:b/>
                <w:bCs w:val="0"/>
                <w:kern w:val="2"/>
                <w:sz w:val="21"/>
                <w:szCs w:val="21"/>
                <w:lang w:val="en-US" w:eastAsia="zh-CN" w:bidi="ar"/>
              </w:rPr>
              <w:t>30</w:t>
            </w:r>
          </w:p>
        </w:tc>
      </w:tr>
    </w:tbl>
    <w:p w14:paraId="109AEC8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43E9256">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（六）</w:t>
      </w:r>
      <w:r>
        <w:rPr>
          <w:rFonts w:hint="eastAsia" w:ascii="宋体" w:hAnsi="宋体" w:eastAsia="宋体" w:cs="宋体"/>
          <w:kern w:val="2"/>
          <w:sz w:val="21"/>
          <w:szCs w:val="21"/>
          <w:lang w:val="en-US" w:eastAsia="zh-CN" w:bidi="ar"/>
        </w:rPr>
        <w:tab/>
      </w:r>
      <w:r>
        <w:rPr>
          <w:rFonts w:hint="eastAsia" w:ascii="宋体" w:hAnsi="宋体" w:eastAsia="宋体" w:cs="宋体"/>
          <w:kern w:val="2"/>
          <w:sz w:val="21"/>
          <w:szCs w:val="21"/>
          <w:lang w:val="en-US" w:eastAsia="zh-CN" w:bidi="ar"/>
        </w:rPr>
        <w:t>中标候选人</w:t>
      </w:r>
    </w:p>
    <w:p w14:paraId="06A6FB13">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本项目推荐两名中标候选人。将各有效投标人按其评标总得分由高到低顺序排列。综合总得分相同的，按下列顺序比较确定：（1）投标报价（由低到高）；（2）技术得分（由高到低）。如以上都相同的，名次由评标委员会抽签确定。综合总得分排名第一的投标人为第一中标候选人，综合总得分排名第二的投标人为第二中标候选人。</w:t>
      </w:r>
    </w:p>
    <w:p w14:paraId="0127AF6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1218323">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四、定标</w:t>
      </w:r>
    </w:p>
    <w:p w14:paraId="0625481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（一）</w:t>
      </w:r>
      <w:r>
        <w:rPr>
          <w:rFonts w:hint="eastAsia" w:ascii="宋体" w:hAnsi="宋体" w:eastAsia="宋体" w:cs="宋体"/>
          <w:kern w:val="2"/>
          <w:sz w:val="21"/>
          <w:szCs w:val="21"/>
          <w:lang w:val="en-US" w:eastAsia="zh-CN" w:bidi="ar"/>
        </w:rPr>
        <w:tab/>
      </w:r>
      <w:r>
        <w:rPr>
          <w:rFonts w:hint="eastAsia" w:ascii="宋体" w:hAnsi="宋体" w:eastAsia="宋体" w:cs="宋体"/>
          <w:kern w:val="2"/>
          <w:sz w:val="21"/>
          <w:szCs w:val="21"/>
          <w:lang w:val="en-US" w:eastAsia="zh-CN" w:bidi="ar"/>
        </w:rPr>
        <w:t>根据评标委员会的评标结果，招标人依法确定中标人。</w:t>
      </w:r>
    </w:p>
    <w:p w14:paraId="27FD981F">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（二）</w:t>
      </w:r>
      <w:r>
        <w:rPr>
          <w:rFonts w:hint="eastAsia" w:ascii="宋体" w:hAnsi="宋体" w:eastAsia="宋体" w:cs="宋体"/>
          <w:kern w:val="2"/>
          <w:sz w:val="21"/>
          <w:szCs w:val="21"/>
          <w:lang w:val="en-US" w:eastAsia="zh-CN" w:bidi="ar"/>
        </w:rPr>
        <w:tab/>
      </w:r>
      <w:r>
        <w:rPr>
          <w:rFonts w:hint="eastAsia" w:ascii="宋体" w:hAnsi="宋体" w:eastAsia="宋体" w:cs="宋体"/>
          <w:kern w:val="2"/>
          <w:sz w:val="21"/>
          <w:szCs w:val="21"/>
          <w:lang w:val="en-US" w:eastAsia="zh-CN" w:bidi="ar"/>
        </w:rPr>
        <w:t>中标结果确认后，</w:t>
      </w:r>
      <w:r>
        <w:rPr>
          <w:rFonts w:hint="eastAsia" w:ascii="宋体" w:hAnsi="宋体" w:eastAsia="宋体" w:cs="宋体"/>
          <w:color w:val="000000"/>
          <w:kern w:val="2"/>
          <w:sz w:val="21"/>
          <w:szCs w:val="21"/>
          <w:lang w:val="en-US" w:eastAsia="zh-CN" w:bidi="ar"/>
        </w:rPr>
        <w:t>采购人</w:t>
      </w:r>
      <w:r>
        <w:rPr>
          <w:rFonts w:hint="eastAsia" w:ascii="宋体" w:hAnsi="宋体" w:eastAsia="宋体" w:cs="宋体"/>
          <w:kern w:val="2"/>
          <w:sz w:val="21"/>
          <w:szCs w:val="21"/>
          <w:lang w:val="en-US" w:eastAsia="zh-CN" w:bidi="ar"/>
        </w:rPr>
        <w:t>将中标结果在相关媒体进行公告。</w:t>
      </w:r>
    </w:p>
    <w:p w14:paraId="19FDA19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（三）</w:t>
      </w:r>
      <w:r>
        <w:rPr>
          <w:rFonts w:hint="eastAsia" w:ascii="宋体" w:hAnsi="宋体" w:eastAsia="宋体" w:cs="宋体"/>
          <w:kern w:val="2"/>
          <w:sz w:val="21"/>
          <w:szCs w:val="21"/>
          <w:lang w:val="en-US" w:eastAsia="zh-CN" w:bidi="ar"/>
        </w:rPr>
        <w:tab/>
      </w:r>
      <w:r>
        <w:rPr>
          <w:rFonts w:hint="eastAsia" w:ascii="宋体" w:hAnsi="宋体" w:eastAsia="宋体" w:cs="宋体"/>
          <w:kern w:val="2"/>
          <w:sz w:val="21"/>
          <w:szCs w:val="21"/>
          <w:lang w:val="en-US" w:eastAsia="zh-CN" w:bidi="ar"/>
        </w:rPr>
        <w:t>中标结果公告后，</w:t>
      </w:r>
      <w:r>
        <w:rPr>
          <w:rFonts w:hint="eastAsia" w:ascii="宋体" w:hAnsi="宋体" w:eastAsia="宋体" w:cs="宋体"/>
          <w:color w:val="000000"/>
          <w:kern w:val="2"/>
          <w:sz w:val="21"/>
          <w:szCs w:val="21"/>
          <w:lang w:val="en-US" w:eastAsia="zh-CN" w:bidi="ar"/>
        </w:rPr>
        <w:t>采购人</w:t>
      </w:r>
      <w:r>
        <w:rPr>
          <w:rFonts w:hint="eastAsia" w:ascii="宋体" w:hAnsi="宋体" w:eastAsia="宋体" w:cs="宋体"/>
          <w:kern w:val="2"/>
          <w:sz w:val="21"/>
          <w:szCs w:val="21"/>
          <w:lang w:val="en-US" w:eastAsia="zh-CN" w:bidi="ar"/>
        </w:rPr>
        <w:t>以书面形式向中标人发出《中标通知书》。</w:t>
      </w:r>
    </w:p>
    <w:p w14:paraId="25C70A8D">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（四）</w:t>
      </w:r>
      <w:r>
        <w:rPr>
          <w:rFonts w:hint="eastAsia" w:ascii="宋体" w:hAnsi="宋体" w:eastAsia="宋体" w:cs="宋体"/>
          <w:kern w:val="2"/>
          <w:sz w:val="21"/>
          <w:szCs w:val="21"/>
          <w:lang w:val="en-US" w:eastAsia="zh-CN" w:bidi="ar"/>
        </w:rPr>
        <w:tab/>
      </w:r>
      <w:r>
        <w:rPr>
          <w:rFonts w:hint="eastAsia" w:ascii="宋体" w:hAnsi="宋体" w:eastAsia="宋体" w:cs="宋体"/>
          <w:kern w:val="2"/>
          <w:sz w:val="21"/>
          <w:szCs w:val="21"/>
          <w:lang w:val="en-US" w:eastAsia="zh-CN" w:bidi="ar"/>
        </w:rPr>
        <w:t>《中标通知书》是合同的一个组成部分，对招标人和中标人具有同等法律效力；《中标通知书》发出后，招标人改变中标结果，或者中标人放弃中标的，均应承担相应的法律责任。</w:t>
      </w:r>
    </w:p>
    <w:p w14:paraId="29D5930F">
      <w:pPr>
        <w:keepNext w:val="0"/>
        <w:keepLines w:val="0"/>
        <w:widowControl w:val="0"/>
        <w:suppressLineNumbers w:val="0"/>
        <w:spacing w:before="0" w:beforeAutospacing="0" w:after="0" w:afterAutospacing="0" w:line="360" w:lineRule="auto"/>
        <w:ind w:left="0" w:right="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6FB22D5">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五、</w:t>
      </w:r>
      <w:r>
        <w:rPr>
          <w:rFonts w:hint="eastAsia" w:ascii="宋体" w:hAnsi="宋体" w:eastAsia="宋体" w:cs="宋体"/>
          <w:kern w:val="2"/>
          <w:sz w:val="21"/>
          <w:szCs w:val="21"/>
          <w:lang w:val="en-US" w:eastAsia="zh-CN" w:bidi="ar"/>
        </w:rPr>
        <w:tab/>
      </w:r>
      <w:r>
        <w:rPr>
          <w:rFonts w:hint="eastAsia" w:ascii="宋体" w:hAnsi="宋体" w:eastAsia="宋体" w:cs="宋体"/>
          <w:kern w:val="2"/>
          <w:sz w:val="21"/>
          <w:szCs w:val="21"/>
          <w:lang w:val="en-US" w:eastAsia="zh-CN" w:bidi="ar"/>
        </w:rPr>
        <w:t>招标失败的情况</w:t>
      </w:r>
    </w:p>
    <w:p w14:paraId="01F1BFFD">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本项目招标出现下列情况之一，将视为招标失败：</w:t>
      </w:r>
    </w:p>
    <w:p w14:paraId="344C73A4">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1）投标报名的投标人少于三家的。</w:t>
      </w:r>
    </w:p>
    <w:p w14:paraId="3C532B0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2）至投标截止时间止，递交投标文件的投标人少于三家的。</w:t>
      </w:r>
    </w:p>
    <w:p w14:paraId="093DC16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3）通过资格性审查的合格投标人不足三家的。</w:t>
      </w:r>
    </w:p>
    <w:p w14:paraId="328A310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4）通过符合性审查的合格投标人不足三家的。</w:t>
      </w:r>
    </w:p>
    <w:p w14:paraId="6215EF8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5）出现影响采购公正的违法、违规行为的。</w:t>
      </w:r>
    </w:p>
    <w:p w14:paraId="74C38412">
      <w:pPr>
        <w:keepNext w:val="0"/>
        <w:keepLines w:val="0"/>
        <w:widowControl w:val="0"/>
        <w:suppressLineNumbers w:val="0"/>
        <w:spacing w:before="0" w:beforeAutospacing="0" w:after="0" w:afterAutospacing="0" w:line="360" w:lineRule="auto"/>
        <w:ind w:left="420" w:leftChars="200" w:right="0"/>
        <w:jc w:val="both"/>
        <w:rPr>
          <w:rFonts w:hint="default" w:ascii="Times New Roman" w:hAnsi="Times New Roman" w:eastAsia="宋体" w:cs="Times New Roman"/>
          <w:b/>
          <w:bCs w:val="0"/>
          <w:kern w:val="2"/>
          <w:sz w:val="28"/>
          <w:szCs w:val="28"/>
        </w:rPr>
      </w:pPr>
      <w:r>
        <w:rPr>
          <w:rFonts w:hint="default" w:ascii="Times New Roman" w:hAnsi="Times New Roman" w:eastAsia="仿宋" w:cs="Times New Roman"/>
          <w:kern w:val="2"/>
          <w:sz w:val="21"/>
          <w:szCs w:val="21"/>
        </w:rPr>
        <w:br w:type="page"/>
      </w:r>
    </w:p>
    <w:p w14:paraId="0B451667">
      <w:pPr>
        <w:keepNext w:val="0"/>
        <w:keepLines w:val="0"/>
        <w:widowControl w:val="0"/>
        <w:suppressLineNumbers w:val="0"/>
        <w:spacing w:before="0" w:beforeAutospacing="0" w:after="0" w:afterAutospacing="0"/>
        <w:ind w:left="0" w:right="0"/>
        <w:jc w:val="both"/>
        <w:outlineLvl w:val="1"/>
        <w:rPr>
          <w:rFonts w:hint="default" w:ascii="Times New Roman" w:hAnsi="Times New Roman" w:eastAsia="宋体" w:cs="Times New Roman"/>
          <w:color w:val="000000"/>
          <w:kern w:val="2"/>
          <w:sz w:val="21"/>
          <w:szCs w:val="21"/>
        </w:rPr>
      </w:pPr>
      <w:r>
        <w:rPr>
          <w:rFonts w:hint="eastAsia" w:ascii="宋体" w:hAnsi="宋体" w:eastAsia="宋体" w:cs="宋体"/>
          <w:b/>
          <w:bCs/>
          <w:color w:val="000000"/>
          <w:kern w:val="2"/>
          <w:sz w:val="21"/>
          <w:szCs w:val="21"/>
          <w:lang w:val="en-US" w:eastAsia="zh-CN" w:bidi="ar"/>
        </w:rPr>
        <w:t>附件一：</w:t>
      </w:r>
    </w:p>
    <w:p w14:paraId="709BC385">
      <w:pPr>
        <w:keepNext w:val="0"/>
        <w:keepLines w:val="0"/>
        <w:widowControl w:val="0"/>
        <w:suppressLineNumbers w:val="0"/>
        <w:spacing w:before="0" w:beforeAutospacing="0" w:after="0" w:afterAutospacing="0" w:line="480" w:lineRule="exact"/>
        <w:ind w:left="0" w:right="420" w:rightChars="200"/>
        <w:jc w:val="center"/>
        <w:rPr>
          <w:rFonts w:hint="default" w:ascii="宋体" w:hAnsi="宋体" w:eastAsia="宋体" w:cs="宋体"/>
          <w:b/>
          <w:bCs w:val="0"/>
          <w:color w:val="000000"/>
          <w:kern w:val="2"/>
          <w:sz w:val="28"/>
          <w:szCs w:val="28"/>
          <w:lang w:val="en-US"/>
        </w:rPr>
      </w:pPr>
      <w:r>
        <w:rPr>
          <w:rFonts w:hint="eastAsia" w:ascii="宋体" w:hAnsi="宋体" w:eastAsia="宋体" w:cs="宋体"/>
          <w:b/>
          <w:bCs w:val="0"/>
          <w:color w:val="000000"/>
          <w:kern w:val="2"/>
          <w:sz w:val="28"/>
          <w:szCs w:val="28"/>
          <w:lang w:val="en-US" w:eastAsia="zh-CN" w:bidi="ar"/>
        </w:rPr>
        <w:t>广州美术学院综合档案室气体灭火消防系统建设项目（三次）</w:t>
      </w:r>
    </w:p>
    <w:p w14:paraId="1F9E9634">
      <w:pPr>
        <w:keepNext w:val="0"/>
        <w:keepLines w:val="0"/>
        <w:widowControl w:val="0"/>
        <w:suppressLineNumbers w:val="0"/>
        <w:spacing w:before="0" w:beforeAutospacing="0" w:after="0" w:afterAutospacing="0" w:line="480" w:lineRule="exact"/>
        <w:ind w:left="0" w:right="420" w:rightChars="200"/>
        <w:jc w:val="center"/>
        <w:rPr>
          <w:rFonts w:hint="default" w:ascii="Times New Roman" w:hAnsi="Times New Roman" w:eastAsia="宋体" w:cs="Times New Roman"/>
          <w:b/>
          <w:bCs w:val="0"/>
          <w:color w:val="000000"/>
          <w:kern w:val="2"/>
          <w:sz w:val="28"/>
          <w:szCs w:val="28"/>
        </w:rPr>
      </w:pPr>
      <w:r>
        <w:rPr>
          <w:rFonts w:hint="eastAsia" w:ascii="宋体" w:hAnsi="宋体" w:eastAsia="宋体" w:cs="宋体"/>
          <w:b/>
          <w:bCs w:val="0"/>
          <w:color w:val="000000"/>
          <w:kern w:val="2"/>
          <w:sz w:val="28"/>
          <w:szCs w:val="28"/>
          <w:lang w:val="en-US" w:eastAsia="zh-CN" w:bidi="ar"/>
        </w:rPr>
        <w:t>（校内2025-27）</w:t>
      </w:r>
    </w:p>
    <w:p w14:paraId="282BF25A">
      <w:pPr>
        <w:keepNext w:val="0"/>
        <w:keepLines w:val="0"/>
        <w:widowControl w:val="0"/>
        <w:suppressLineNumbers w:val="0"/>
        <w:spacing w:before="0" w:beforeAutospacing="0" w:after="0" w:afterAutospacing="0" w:line="360" w:lineRule="auto"/>
        <w:ind w:left="0" w:right="0"/>
        <w:jc w:val="center"/>
        <w:rPr>
          <w:rFonts w:hint="default" w:ascii="Tahoma" w:hAnsi="Tahoma" w:eastAsia="Tahoma" w:cs="Tahoma"/>
          <w:b/>
          <w:bCs w:val="0"/>
          <w:kern w:val="2"/>
          <w:sz w:val="32"/>
          <w:szCs w:val="32"/>
        </w:rPr>
      </w:pPr>
      <w:r>
        <w:rPr>
          <w:rFonts w:hint="default" w:ascii="Tahoma" w:hAnsi="Tahoma" w:eastAsia="Tahoma" w:cs="Tahoma"/>
          <w:b/>
          <w:bCs w:val="0"/>
          <w:kern w:val="2"/>
          <w:sz w:val="32"/>
          <w:szCs w:val="32"/>
          <w:lang w:val="en-US" w:eastAsia="zh-CN" w:bidi="ar"/>
        </w:rPr>
        <w:t>资格性审查表</w:t>
      </w:r>
    </w:p>
    <w:tbl>
      <w:tblPr>
        <w:tblStyle w:val="1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57" w:type="dxa"/>
          <w:bottom w:w="0" w:type="dxa"/>
          <w:right w:w="57" w:type="dxa"/>
        </w:tblCellMar>
      </w:tblPr>
      <w:tblGrid>
        <w:gridCol w:w="824"/>
        <w:gridCol w:w="7206"/>
        <w:gridCol w:w="1152"/>
      </w:tblGrid>
      <w:tr w14:paraId="08A00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680" w:hRule="atLeast"/>
          <w:jc w:val="center"/>
        </w:trPr>
        <w:tc>
          <w:tcPr>
            <w:tcW w:w="449" w:type="pct"/>
            <w:tcBorders>
              <w:top w:val="single" w:color="auto" w:sz="4" w:space="0"/>
              <w:left w:val="single" w:color="auto" w:sz="4" w:space="0"/>
              <w:bottom w:val="single" w:color="auto" w:sz="4" w:space="0"/>
              <w:right w:val="single" w:color="auto" w:sz="4" w:space="0"/>
            </w:tcBorders>
            <w:shd w:val="clear" w:color="auto" w:fill="D9D9D9"/>
            <w:vAlign w:val="center"/>
          </w:tcPr>
          <w:p w14:paraId="0835185B">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b/>
                <w:bCs w:val="0"/>
                <w:kern w:val="2"/>
                <w:sz w:val="24"/>
                <w:szCs w:val="24"/>
              </w:rPr>
            </w:pPr>
            <w:r>
              <w:rPr>
                <w:rFonts w:hint="default" w:ascii="Tahoma" w:hAnsi="Tahoma" w:eastAsia="Tahoma" w:cs="Tahoma"/>
                <w:b/>
                <w:bCs w:val="0"/>
                <w:kern w:val="2"/>
                <w:sz w:val="24"/>
                <w:szCs w:val="24"/>
                <w:lang w:val="en-US" w:eastAsia="zh-CN" w:bidi="ar"/>
              </w:rPr>
              <w:t>序号</w:t>
            </w:r>
          </w:p>
        </w:tc>
        <w:tc>
          <w:tcPr>
            <w:tcW w:w="3923" w:type="pct"/>
            <w:tcBorders>
              <w:top w:val="single" w:color="auto" w:sz="4" w:space="0"/>
              <w:left w:val="nil"/>
              <w:bottom w:val="single" w:color="auto" w:sz="4" w:space="0"/>
              <w:right w:val="single" w:color="auto" w:sz="4" w:space="0"/>
            </w:tcBorders>
            <w:shd w:val="clear" w:color="auto" w:fill="D9D9D9"/>
            <w:vAlign w:val="center"/>
          </w:tcPr>
          <w:p w14:paraId="18F10E5C">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kern w:val="2"/>
                <w:sz w:val="24"/>
                <w:szCs w:val="24"/>
              </w:rPr>
            </w:pPr>
            <w:r>
              <w:rPr>
                <w:rFonts w:hint="default" w:ascii="Tahoma" w:hAnsi="Tahoma" w:eastAsia="Tahoma" w:cs="Tahoma"/>
                <w:b/>
                <w:bCs w:val="0"/>
                <w:kern w:val="2"/>
                <w:sz w:val="24"/>
                <w:szCs w:val="24"/>
                <w:lang w:val="en-US" w:eastAsia="zh-CN" w:bidi="ar"/>
              </w:rPr>
              <w:t>审查内容</w:t>
            </w:r>
          </w:p>
        </w:tc>
        <w:tc>
          <w:tcPr>
            <w:tcW w:w="626" w:type="pct"/>
            <w:tcBorders>
              <w:top w:val="single" w:color="auto" w:sz="4" w:space="0"/>
              <w:left w:val="nil"/>
              <w:bottom w:val="single" w:color="auto" w:sz="4" w:space="0"/>
              <w:right w:val="single" w:color="auto" w:sz="4" w:space="0"/>
            </w:tcBorders>
            <w:shd w:val="clear" w:color="auto" w:fill="D9D9D9"/>
            <w:vAlign w:val="center"/>
          </w:tcPr>
          <w:p w14:paraId="6548182F">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b/>
                <w:bCs/>
                <w:kern w:val="2"/>
                <w:sz w:val="24"/>
                <w:szCs w:val="24"/>
              </w:rPr>
            </w:pPr>
            <w:r>
              <w:rPr>
                <w:rFonts w:hint="default" w:ascii="Tahoma" w:hAnsi="Tahoma" w:eastAsia="Tahoma" w:cs="Tahoma"/>
                <w:b/>
                <w:bCs/>
                <w:kern w:val="2"/>
                <w:sz w:val="24"/>
                <w:szCs w:val="24"/>
                <w:lang w:val="en-US" w:eastAsia="zh-CN" w:bidi="ar"/>
              </w:rPr>
              <w:t>审查</w:t>
            </w:r>
          </w:p>
          <w:p w14:paraId="2FCD8C4B">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kern w:val="2"/>
                <w:sz w:val="24"/>
                <w:szCs w:val="24"/>
              </w:rPr>
            </w:pPr>
            <w:r>
              <w:rPr>
                <w:rFonts w:hint="default" w:ascii="Tahoma" w:hAnsi="Tahoma" w:eastAsia="Tahoma" w:cs="Tahoma"/>
                <w:b/>
                <w:bCs/>
                <w:kern w:val="2"/>
                <w:sz w:val="24"/>
                <w:szCs w:val="24"/>
                <w:lang w:val="en-US" w:eastAsia="zh-CN" w:bidi="ar"/>
              </w:rPr>
              <w:t>标准</w:t>
            </w:r>
          </w:p>
        </w:tc>
      </w:tr>
      <w:tr w14:paraId="4AC53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660" w:hRule="atLeast"/>
          <w:jc w:val="center"/>
        </w:trPr>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3F424008">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kern w:val="2"/>
                <w:sz w:val="24"/>
                <w:szCs w:val="24"/>
              </w:rPr>
            </w:pPr>
            <w:r>
              <w:rPr>
                <w:rFonts w:hint="eastAsia" w:ascii="宋体" w:hAnsi="宋体" w:eastAsia="宋体" w:cs="宋体"/>
                <w:kern w:val="2"/>
                <w:sz w:val="24"/>
                <w:szCs w:val="24"/>
                <w:lang w:val="en-US" w:eastAsia="zh-CN" w:bidi="ar"/>
              </w:rPr>
              <w:t>1</w:t>
            </w:r>
          </w:p>
        </w:tc>
        <w:tc>
          <w:tcPr>
            <w:tcW w:w="3923" w:type="pct"/>
            <w:tcBorders>
              <w:top w:val="single" w:color="auto" w:sz="4" w:space="0"/>
              <w:left w:val="nil"/>
              <w:bottom w:val="single" w:color="auto" w:sz="4" w:space="0"/>
              <w:right w:val="single" w:color="auto" w:sz="4" w:space="0"/>
            </w:tcBorders>
            <w:shd w:val="clear" w:color="auto" w:fill="auto"/>
            <w:vAlign w:val="center"/>
          </w:tcPr>
          <w:p w14:paraId="5FB0EE8B">
            <w:pPr>
              <w:keepNext w:val="0"/>
              <w:keepLines w:val="0"/>
              <w:widowControl w:val="0"/>
              <w:suppressLineNumbers w:val="0"/>
              <w:spacing w:before="0" w:beforeAutospacing="0" w:after="0" w:afterAutospacing="0" w:line="360" w:lineRule="auto"/>
              <w:ind w:left="0" w:right="0"/>
              <w:jc w:val="both"/>
              <w:rPr>
                <w:rFonts w:hint="eastAsia" w:ascii="宋体" w:hAnsi="宋体" w:eastAsia="Tahoma" w:cs="Tahoma"/>
                <w:kern w:val="2"/>
                <w:sz w:val="24"/>
                <w:szCs w:val="24"/>
              </w:rPr>
            </w:pPr>
            <w:r>
              <w:rPr>
                <w:rFonts w:hint="default" w:ascii="Tahoma" w:hAnsi="Tahoma" w:eastAsia="Tahoma" w:cs="Tahoma"/>
                <w:color w:val="000000"/>
                <w:kern w:val="2"/>
                <w:sz w:val="24"/>
                <w:szCs w:val="24"/>
                <w:lang w:val="en-US" w:eastAsia="zh-CN" w:bidi="ar"/>
              </w:rPr>
              <w:t>具有独立承担民事责任的能力：在中华人民共和国境内注册的法人或其他组织或自然人，响应时提交有效的营业执照（或事业法人登记证或身份证等相关证明）副本复印件。分支机构投标的，须提供总公司和分公司营业执照副本复印件，总公司出具给分支机构的授权书。</w:t>
            </w:r>
          </w:p>
        </w:tc>
        <w:tc>
          <w:tcPr>
            <w:tcW w:w="626" w:type="pct"/>
            <w:vMerge w:val="restart"/>
            <w:tcBorders>
              <w:top w:val="nil"/>
              <w:left w:val="nil"/>
              <w:bottom w:val="single" w:color="auto" w:sz="4" w:space="0"/>
              <w:right w:val="single" w:color="auto" w:sz="4" w:space="0"/>
            </w:tcBorders>
            <w:shd w:val="clear" w:color="auto" w:fill="auto"/>
            <w:vAlign w:val="center"/>
          </w:tcPr>
          <w:p w14:paraId="17C9589E">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kern w:val="2"/>
                <w:sz w:val="24"/>
                <w:szCs w:val="24"/>
              </w:rPr>
            </w:pPr>
            <w:r>
              <w:rPr>
                <w:rFonts w:hint="default" w:ascii="Tahoma" w:hAnsi="Tahoma" w:eastAsia="Tahoma" w:cs="Tahoma"/>
                <w:kern w:val="2"/>
                <w:sz w:val="24"/>
                <w:szCs w:val="24"/>
                <w:lang w:val="en-US" w:eastAsia="zh-CN" w:bidi="ar"/>
              </w:rPr>
              <w:t>详见招标文件中“供应商资格”</w:t>
            </w:r>
          </w:p>
        </w:tc>
      </w:tr>
      <w:tr w14:paraId="00FC0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680" w:hRule="atLeast"/>
          <w:jc w:val="center"/>
        </w:trPr>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2C5A9777">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kern w:val="2"/>
                <w:sz w:val="24"/>
                <w:szCs w:val="24"/>
              </w:rPr>
            </w:pPr>
            <w:r>
              <w:rPr>
                <w:rFonts w:hint="eastAsia" w:ascii="宋体" w:hAnsi="宋体" w:eastAsia="宋体" w:cs="宋体"/>
                <w:kern w:val="2"/>
                <w:sz w:val="24"/>
                <w:szCs w:val="24"/>
                <w:lang w:val="en-US" w:eastAsia="zh-CN" w:bidi="ar"/>
              </w:rPr>
              <w:t>2</w:t>
            </w:r>
          </w:p>
        </w:tc>
        <w:tc>
          <w:tcPr>
            <w:tcW w:w="3923" w:type="pct"/>
            <w:tcBorders>
              <w:top w:val="single" w:color="auto" w:sz="4" w:space="0"/>
              <w:left w:val="nil"/>
              <w:bottom w:val="single" w:color="auto" w:sz="4" w:space="0"/>
              <w:right w:val="single" w:color="auto" w:sz="4" w:space="0"/>
            </w:tcBorders>
            <w:shd w:val="clear" w:color="auto" w:fill="auto"/>
            <w:vAlign w:val="center"/>
          </w:tcPr>
          <w:p w14:paraId="5B53B9BF">
            <w:pPr>
              <w:keepNext w:val="0"/>
              <w:keepLines w:val="0"/>
              <w:widowControl w:val="0"/>
              <w:suppressLineNumbers w:val="0"/>
              <w:spacing w:before="0" w:beforeAutospacing="0" w:after="0" w:afterAutospacing="0" w:line="360" w:lineRule="auto"/>
              <w:ind w:left="0" w:right="0"/>
              <w:jc w:val="both"/>
              <w:rPr>
                <w:rFonts w:hint="eastAsia" w:ascii="宋体" w:hAnsi="宋体" w:eastAsia="Tahoma" w:cs="宋体"/>
                <w:kern w:val="2"/>
                <w:sz w:val="24"/>
                <w:szCs w:val="24"/>
              </w:rPr>
            </w:pPr>
            <w:r>
              <w:rPr>
                <w:rFonts w:hint="default" w:ascii="Tahoma" w:hAnsi="Tahoma" w:eastAsia="Tahoma" w:cs="Tahoma"/>
                <w:kern w:val="2"/>
                <w:sz w:val="24"/>
                <w:szCs w:val="24"/>
                <w:lang w:val="en-US" w:eastAsia="zh-CN" w:bidi="ar"/>
              </w:rPr>
              <w:t>具有良好的商业信誉和健全的财务会计制度：提供2023年或2024年财务状况报告或银行出具的资信证明材料。</w:t>
            </w:r>
          </w:p>
        </w:tc>
        <w:tc>
          <w:tcPr>
            <w:tcW w:w="626" w:type="pct"/>
            <w:vMerge w:val="continue"/>
            <w:tcBorders>
              <w:top w:val="nil"/>
              <w:left w:val="nil"/>
              <w:bottom w:val="single" w:color="auto" w:sz="4" w:space="0"/>
              <w:right w:val="single" w:color="auto" w:sz="4" w:space="0"/>
            </w:tcBorders>
            <w:shd w:val="clear" w:color="auto" w:fill="auto"/>
            <w:vAlign w:val="center"/>
          </w:tcPr>
          <w:p w14:paraId="345BA77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12ECC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908" w:hRule="atLeast"/>
          <w:jc w:val="center"/>
        </w:trPr>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02AD39FB">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kern w:val="2"/>
                <w:sz w:val="24"/>
                <w:szCs w:val="24"/>
              </w:rPr>
            </w:pPr>
            <w:r>
              <w:rPr>
                <w:rFonts w:hint="eastAsia" w:ascii="宋体" w:hAnsi="宋体" w:eastAsia="宋体" w:cs="宋体"/>
                <w:kern w:val="2"/>
                <w:sz w:val="24"/>
                <w:szCs w:val="24"/>
                <w:lang w:val="en-US" w:eastAsia="zh-CN" w:bidi="ar"/>
              </w:rPr>
              <w:t>3</w:t>
            </w:r>
          </w:p>
        </w:tc>
        <w:tc>
          <w:tcPr>
            <w:tcW w:w="3923" w:type="pct"/>
            <w:tcBorders>
              <w:top w:val="single" w:color="auto" w:sz="4" w:space="0"/>
              <w:left w:val="nil"/>
              <w:bottom w:val="single" w:color="auto" w:sz="4" w:space="0"/>
              <w:right w:val="single" w:color="auto" w:sz="4" w:space="0"/>
            </w:tcBorders>
            <w:shd w:val="clear" w:color="auto" w:fill="auto"/>
            <w:vAlign w:val="center"/>
          </w:tcPr>
          <w:p w14:paraId="2E8F68ED">
            <w:pPr>
              <w:keepNext w:val="0"/>
              <w:keepLines w:val="0"/>
              <w:widowControl w:val="0"/>
              <w:suppressLineNumbers w:val="0"/>
              <w:spacing w:before="0" w:beforeAutospacing="0" w:after="0" w:afterAutospacing="0" w:line="360" w:lineRule="auto"/>
              <w:ind w:left="0" w:right="0"/>
              <w:jc w:val="both"/>
              <w:rPr>
                <w:rFonts w:hint="eastAsia" w:ascii="宋体" w:hAnsi="宋体" w:eastAsia="Tahoma" w:cs="宋体"/>
                <w:kern w:val="2"/>
                <w:sz w:val="24"/>
                <w:szCs w:val="24"/>
              </w:rPr>
            </w:pPr>
            <w:r>
              <w:rPr>
                <w:rFonts w:hint="default" w:ascii="Tahoma" w:hAnsi="Tahoma" w:eastAsia="Tahoma" w:cs="Tahoma"/>
                <w:kern w:val="2"/>
                <w:sz w:val="24"/>
                <w:szCs w:val="24"/>
                <w:lang w:val="en-US" w:eastAsia="zh-CN" w:bidi="ar"/>
              </w:rPr>
              <w:t>具有依法缴纳税收和社会保障资金的良好记录：须提供至投标截止之日前6个月以内任意一个月依法缴纳税收及依法缴纳社会保障资金相关证明材料；如依法免税或依法不需要缴纳社会保障资金的，应提供相应文件证明其依法免税或不需要缴纳社会保障资金。</w:t>
            </w:r>
          </w:p>
        </w:tc>
        <w:tc>
          <w:tcPr>
            <w:tcW w:w="626" w:type="pct"/>
            <w:vMerge w:val="continue"/>
            <w:tcBorders>
              <w:top w:val="nil"/>
              <w:left w:val="nil"/>
              <w:bottom w:val="single" w:color="auto" w:sz="4" w:space="0"/>
              <w:right w:val="single" w:color="auto" w:sz="4" w:space="0"/>
            </w:tcBorders>
            <w:shd w:val="clear" w:color="auto" w:fill="auto"/>
            <w:vAlign w:val="center"/>
          </w:tcPr>
          <w:p w14:paraId="2ED3DC1F">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0FD96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6" w:hRule="atLeast"/>
          <w:jc w:val="center"/>
        </w:trPr>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687FE6BE">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kern w:val="2"/>
                <w:sz w:val="24"/>
                <w:szCs w:val="24"/>
              </w:rPr>
            </w:pPr>
            <w:r>
              <w:rPr>
                <w:rFonts w:hint="eastAsia" w:ascii="宋体" w:hAnsi="宋体" w:eastAsia="宋体" w:cs="宋体"/>
                <w:kern w:val="2"/>
                <w:sz w:val="24"/>
                <w:szCs w:val="24"/>
                <w:lang w:val="en-US" w:eastAsia="zh-CN" w:bidi="ar"/>
              </w:rPr>
              <w:t>4</w:t>
            </w:r>
          </w:p>
        </w:tc>
        <w:tc>
          <w:tcPr>
            <w:tcW w:w="3923" w:type="pct"/>
            <w:tcBorders>
              <w:top w:val="single" w:color="auto" w:sz="4" w:space="0"/>
              <w:left w:val="nil"/>
              <w:bottom w:val="single" w:color="auto" w:sz="4" w:space="0"/>
              <w:right w:val="single" w:color="auto" w:sz="4" w:space="0"/>
            </w:tcBorders>
            <w:shd w:val="clear" w:color="auto" w:fill="auto"/>
            <w:vAlign w:val="center"/>
          </w:tcPr>
          <w:p w14:paraId="7219BE63">
            <w:pPr>
              <w:keepNext w:val="0"/>
              <w:keepLines w:val="0"/>
              <w:widowControl w:val="0"/>
              <w:suppressLineNumbers w:val="0"/>
              <w:spacing w:before="0" w:beforeAutospacing="0" w:after="0" w:afterAutospacing="0" w:line="360" w:lineRule="auto"/>
              <w:ind w:left="0" w:right="0"/>
              <w:jc w:val="both"/>
              <w:rPr>
                <w:rFonts w:hint="eastAsia" w:ascii="宋体" w:hAnsi="宋体" w:eastAsia="Tahoma" w:cs="宋体"/>
                <w:kern w:val="2"/>
                <w:sz w:val="24"/>
                <w:szCs w:val="24"/>
              </w:rPr>
            </w:pPr>
            <w:r>
              <w:rPr>
                <w:rFonts w:hint="default" w:ascii="Tahoma" w:hAnsi="Tahoma" w:eastAsia="Tahoma" w:cs="Tahoma"/>
                <w:kern w:val="2"/>
                <w:sz w:val="24"/>
                <w:szCs w:val="24"/>
                <w:lang w:val="en-US" w:eastAsia="zh-CN" w:bidi="ar"/>
              </w:rPr>
              <w:t>具有履行合同所必需的设备和专业技术能力：提供《供应商资格承诺函》，格式自拟。</w:t>
            </w:r>
          </w:p>
        </w:tc>
        <w:tc>
          <w:tcPr>
            <w:tcW w:w="626" w:type="pct"/>
            <w:vMerge w:val="continue"/>
            <w:tcBorders>
              <w:top w:val="nil"/>
              <w:left w:val="nil"/>
              <w:bottom w:val="single" w:color="auto" w:sz="4" w:space="0"/>
              <w:right w:val="single" w:color="auto" w:sz="4" w:space="0"/>
            </w:tcBorders>
            <w:shd w:val="clear" w:color="auto" w:fill="auto"/>
            <w:vAlign w:val="center"/>
          </w:tcPr>
          <w:p w14:paraId="78BA8BBF">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1E0F6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916" w:hRule="atLeast"/>
          <w:jc w:val="center"/>
        </w:trPr>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01502040">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kern w:val="2"/>
                <w:sz w:val="24"/>
                <w:szCs w:val="24"/>
              </w:rPr>
            </w:pPr>
            <w:r>
              <w:rPr>
                <w:rFonts w:hint="eastAsia" w:ascii="宋体" w:hAnsi="宋体" w:eastAsia="宋体" w:cs="宋体"/>
                <w:kern w:val="2"/>
                <w:sz w:val="24"/>
                <w:szCs w:val="24"/>
                <w:lang w:val="en-US" w:eastAsia="zh-CN" w:bidi="ar"/>
              </w:rPr>
              <w:t>5</w:t>
            </w:r>
          </w:p>
        </w:tc>
        <w:tc>
          <w:tcPr>
            <w:tcW w:w="3923" w:type="pct"/>
            <w:tcBorders>
              <w:top w:val="single" w:color="auto" w:sz="4" w:space="0"/>
              <w:left w:val="nil"/>
              <w:bottom w:val="single" w:color="auto" w:sz="4" w:space="0"/>
              <w:right w:val="single" w:color="auto" w:sz="4" w:space="0"/>
            </w:tcBorders>
            <w:shd w:val="clear" w:color="auto" w:fill="auto"/>
            <w:vAlign w:val="center"/>
          </w:tcPr>
          <w:p w14:paraId="077FB0D8">
            <w:pPr>
              <w:keepNext w:val="0"/>
              <w:keepLines w:val="0"/>
              <w:widowControl w:val="0"/>
              <w:suppressLineNumbers w:val="0"/>
              <w:spacing w:before="0" w:beforeAutospacing="0" w:after="0" w:afterAutospacing="0" w:line="360" w:lineRule="auto"/>
              <w:ind w:left="0" w:right="0"/>
              <w:jc w:val="both"/>
              <w:rPr>
                <w:rFonts w:hint="eastAsia" w:ascii="宋体" w:hAnsi="宋体" w:eastAsia="Tahoma" w:cs="宋体"/>
                <w:kern w:val="2"/>
                <w:sz w:val="24"/>
                <w:szCs w:val="24"/>
              </w:rPr>
            </w:pPr>
            <w:r>
              <w:rPr>
                <w:rFonts w:hint="default" w:ascii="Tahoma" w:hAnsi="Tahoma" w:eastAsia="Tahoma" w:cs="Tahoma"/>
                <w:kern w:val="2"/>
                <w:sz w:val="24"/>
                <w:szCs w:val="24"/>
                <w:lang w:val="en-US" w:eastAsia="zh-CN" w:bidi="ar"/>
              </w:rPr>
              <w:t>参加采购活动前</w:t>
            </w:r>
            <w:r>
              <w:rPr>
                <w:rFonts w:hint="eastAsia" w:ascii="宋体" w:hAnsi="宋体" w:eastAsia="宋体" w:cs="宋体"/>
                <w:kern w:val="2"/>
                <w:sz w:val="24"/>
                <w:szCs w:val="24"/>
                <w:lang w:val="en-US" w:eastAsia="zh-CN" w:bidi="ar"/>
              </w:rPr>
              <w:t>3</w:t>
            </w:r>
            <w:r>
              <w:rPr>
                <w:rFonts w:hint="default" w:ascii="Tahoma" w:hAnsi="Tahoma" w:eastAsia="Tahoma" w:cs="Tahoma"/>
                <w:kern w:val="2"/>
                <w:sz w:val="24"/>
                <w:szCs w:val="24"/>
                <w:lang w:val="en-US" w:eastAsia="zh-CN" w:bidi="ar"/>
              </w:rPr>
              <w:t>年内在经营活动中没有重大违法记录：提供《供应商资格承诺函》，格式自拟。</w:t>
            </w:r>
          </w:p>
        </w:tc>
        <w:tc>
          <w:tcPr>
            <w:tcW w:w="626" w:type="pct"/>
            <w:vMerge w:val="continue"/>
            <w:tcBorders>
              <w:top w:val="nil"/>
              <w:left w:val="nil"/>
              <w:bottom w:val="single" w:color="auto" w:sz="4" w:space="0"/>
              <w:right w:val="single" w:color="auto" w:sz="4" w:space="0"/>
            </w:tcBorders>
            <w:shd w:val="clear" w:color="auto" w:fill="auto"/>
            <w:vAlign w:val="center"/>
          </w:tcPr>
          <w:p w14:paraId="1A42110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14658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699" w:hRule="atLeast"/>
          <w:jc w:val="center"/>
        </w:trPr>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6CE9BAF8">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kern w:val="2"/>
                <w:sz w:val="24"/>
                <w:szCs w:val="24"/>
              </w:rPr>
            </w:pPr>
            <w:r>
              <w:rPr>
                <w:rFonts w:hint="eastAsia" w:ascii="宋体" w:hAnsi="宋体" w:eastAsia="宋体" w:cs="宋体"/>
                <w:kern w:val="2"/>
                <w:sz w:val="24"/>
                <w:szCs w:val="24"/>
                <w:lang w:val="en-US" w:eastAsia="zh-CN" w:bidi="ar"/>
              </w:rPr>
              <w:t>6</w:t>
            </w:r>
          </w:p>
        </w:tc>
        <w:tc>
          <w:tcPr>
            <w:tcW w:w="3923" w:type="pct"/>
            <w:tcBorders>
              <w:top w:val="single" w:color="auto" w:sz="4" w:space="0"/>
              <w:left w:val="nil"/>
              <w:bottom w:val="single" w:color="auto" w:sz="4" w:space="0"/>
              <w:right w:val="single" w:color="auto" w:sz="4" w:space="0"/>
            </w:tcBorders>
            <w:shd w:val="clear" w:color="auto" w:fill="auto"/>
            <w:vAlign w:val="center"/>
          </w:tcPr>
          <w:p w14:paraId="7BB2ABC2">
            <w:pPr>
              <w:pStyle w:val="11"/>
              <w:keepNext w:val="0"/>
              <w:keepLines w:val="0"/>
              <w:widowControl w:val="0"/>
              <w:suppressLineNumbers w:val="0"/>
              <w:spacing w:before="178" w:beforeAutospacing="0" w:after="0" w:afterAutospacing="0" w:line="360" w:lineRule="auto"/>
              <w:ind w:left="0" w:right="0"/>
              <w:jc w:val="left"/>
              <w:rPr>
                <w:rFonts w:hint="default" w:ascii="Tahoma" w:hAnsi="Tahoma" w:eastAsia="Tahoma" w:cs="Tahoma"/>
                <w:kern w:val="0"/>
                <w:sz w:val="24"/>
                <w:szCs w:val="24"/>
              </w:rPr>
            </w:pPr>
            <w:r>
              <w:rPr>
                <w:rFonts w:hint="default" w:ascii="Tahoma" w:hAnsi="Tahoma" w:eastAsia="Tahoma" w:cs="Tahoma"/>
                <w:kern w:val="0"/>
                <w:sz w:val="24"/>
                <w:szCs w:val="24"/>
                <w:lang w:val="en-US" w:eastAsia="zh-CN" w:bidi="ar"/>
              </w:rPr>
              <w:t>供应商未被列入“信用中国”网站</w:t>
            </w:r>
            <w:r>
              <w:rPr>
                <w:rFonts w:hint="eastAsia" w:ascii="宋体" w:hAnsi="宋体" w:eastAsia="宋体" w:cs="宋体"/>
                <w:kern w:val="0"/>
                <w:sz w:val="24"/>
                <w:szCs w:val="24"/>
                <w:lang w:val="en-US" w:eastAsia="zh-CN" w:bidi="ar"/>
              </w:rPr>
              <w:t>(www.creditchina.gov.cn)</w:t>
            </w:r>
            <w:r>
              <w:rPr>
                <w:rFonts w:hint="default" w:ascii="Tahoma" w:hAnsi="Tahoma" w:eastAsia="Tahoma" w:cs="Tahoma"/>
                <w:kern w:val="0"/>
                <w:sz w:val="24"/>
                <w:szCs w:val="24"/>
                <w:lang w:val="en-US" w:eastAsia="zh-CN" w:bidi="ar"/>
              </w:rPr>
              <w:t>“记录失信被执行人或重大税收违法失信主体或政府采购严重违法失信行为记录名单”；不处于中国政府采购网</w:t>
            </w:r>
            <w:r>
              <w:rPr>
                <w:rFonts w:hint="eastAsia" w:ascii="宋体" w:hAnsi="宋体" w:eastAsia="宋体" w:cs="宋体"/>
                <w:kern w:val="0"/>
                <w:sz w:val="24"/>
                <w:szCs w:val="24"/>
                <w:lang w:val="en-US" w:eastAsia="zh-CN" w:bidi="ar"/>
              </w:rPr>
              <w:t>(www.ccgp.gov.cn)</w:t>
            </w:r>
            <w:r>
              <w:rPr>
                <w:rFonts w:hint="default" w:ascii="Tahoma" w:hAnsi="Tahoma" w:eastAsia="Tahoma" w:cs="Tahoma"/>
                <w:kern w:val="0"/>
                <w:sz w:val="24"/>
                <w:szCs w:val="24"/>
                <w:lang w:val="en-US" w:eastAsia="zh-CN" w:bidi="ar"/>
              </w:rPr>
              <w:t>“政府采购严重违法失信行为记录名单”中的禁止参加政府采购活动期间。（以代理机构人员于响应截止时间当天在“信用中国”网站（</w:t>
            </w:r>
            <w:r>
              <w:rPr>
                <w:rFonts w:hint="eastAsia" w:ascii="宋体" w:hAnsi="宋体" w:eastAsia="宋体" w:cs="宋体"/>
                <w:kern w:val="0"/>
                <w:sz w:val="24"/>
                <w:szCs w:val="24"/>
                <w:lang w:val="en-US" w:eastAsia="zh-CN" w:bidi="ar"/>
              </w:rPr>
              <w:t>www.creditchina.gov.cn</w:t>
            </w:r>
            <w:r>
              <w:rPr>
                <w:rFonts w:hint="default" w:ascii="Tahoma" w:hAnsi="Tahoma" w:eastAsia="Tahoma" w:cs="Tahoma"/>
                <w:kern w:val="0"/>
                <w:sz w:val="24"/>
                <w:szCs w:val="24"/>
                <w:lang w:val="en-US" w:eastAsia="zh-CN" w:bidi="ar"/>
              </w:rPr>
              <w:t>）及中国政府采购网（</w:t>
            </w:r>
            <w:r>
              <w:rPr>
                <w:rFonts w:hint="eastAsia" w:ascii="宋体" w:hAnsi="宋体" w:eastAsia="宋体" w:cs="宋体"/>
                <w:kern w:val="0"/>
                <w:sz w:val="24"/>
                <w:szCs w:val="24"/>
                <w:lang w:val="en-US" w:eastAsia="zh-CN" w:bidi="ar"/>
              </w:rPr>
              <w:t>http://www.ccgp.gov.cn/</w:t>
            </w:r>
            <w:r>
              <w:rPr>
                <w:rFonts w:hint="default" w:ascii="Tahoma" w:hAnsi="Tahoma" w:eastAsia="Tahoma" w:cs="Tahoma"/>
                <w:kern w:val="0"/>
                <w:sz w:val="24"/>
                <w:szCs w:val="24"/>
                <w:lang w:val="en-US" w:eastAsia="zh-CN" w:bidi="ar"/>
              </w:rPr>
              <w:t>）查询结果为准，如相关失信记录已失效，供应商需提供相关证明资料）。</w:t>
            </w:r>
          </w:p>
        </w:tc>
        <w:tc>
          <w:tcPr>
            <w:tcW w:w="626" w:type="pct"/>
            <w:vMerge w:val="continue"/>
            <w:tcBorders>
              <w:top w:val="nil"/>
              <w:left w:val="nil"/>
              <w:bottom w:val="single" w:color="auto" w:sz="4" w:space="0"/>
              <w:right w:val="single" w:color="auto" w:sz="4" w:space="0"/>
            </w:tcBorders>
            <w:shd w:val="clear" w:color="auto" w:fill="auto"/>
            <w:vAlign w:val="center"/>
          </w:tcPr>
          <w:p w14:paraId="2672152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47068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699" w:hRule="atLeast"/>
          <w:jc w:val="center"/>
        </w:trPr>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29C0F0EB">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kern w:val="2"/>
                <w:sz w:val="24"/>
                <w:szCs w:val="24"/>
              </w:rPr>
            </w:pPr>
            <w:r>
              <w:rPr>
                <w:rFonts w:hint="eastAsia" w:ascii="宋体" w:hAnsi="宋体" w:eastAsia="宋体" w:cs="宋体"/>
                <w:kern w:val="2"/>
                <w:sz w:val="24"/>
                <w:szCs w:val="24"/>
                <w:lang w:val="en-US" w:eastAsia="zh-CN" w:bidi="ar"/>
              </w:rPr>
              <w:t>7</w:t>
            </w:r>
          </w:p>
        </w:tc>
        <w:tc>
          <w:tcPr>
            <w:tcW w:w="3923" w:type="pct"/>
            <w:tcBorders>
              <w:top w:val="single" w:color="auto" w:sz="4" w:space="0"/>
              <w:left w:val="nil"/>
              <w:bottom w:val="single" w:color="auto" w:sz="4" w:space="0"/>
              <w:right w:val="single" w:color="auto" w:sz="4" w:space="0"/>
            </w:tcBorders>
            <w:shd w:val="clear" w:color="auto" w:fill="auto"/>
            <w:vAlign w:val="center"/>
          </w:tcPr>
          <w:p w14:paraId="0C1AB054">
            <w:pPr>
              <w:pStyle w:val="11"/>
              <w:keepNext w:val="0"/>
              <w:keepLines w:val="0"/>
              <w:widowControl w:val="0"/>
              <w:suppressLineNumbers w:val="0"/>
              <w:spacing w:before="178" w:beforeAutospacing="0" w:after="0" w:afterAutospacing="0" w:line="360" w:lineRule="auto"/>
              <w:ind w:left="0" w:right="0"/>
              <w:jc w:val="left"/>
              <w:rPr>
                <w:rFonts w:hint="eastAsia" w:ascii="宋体" w:hAnsi="宋体" w:eastAsia="Tahoma" w:cs="宋体"/>
                <w:kern w:val="0"/>
                <w:sz w:val="24"/>
                <w:szCs w:val="24"/>
              </w:rPr>
            </w:pPr>
            <w:r>
              <w:rPr>
                <w:rFonts w:hint="default" w:ascii="Tahoma" w:hAnsi="Tahoma" w:eastAsia="Tahoma" w:cs="Tahoma"/>
                <w:kern w:val="0"/>
                <w:sz w:val="24"/>
                <w:szCs w:val="24"/>
                <w:lang w:val="en-US" w:eastAsia="zh-CN" w:bidi="ar"/>
              </w:rPr>
              <w:t>单位负责人为同一人或者存在直接控股、管理关系的不同供应商，不得同时参加本采购项目同一合同项下的投标。为本项目提供整体设计、规范编制或者项目管理、监理、检测等服务的供应商，不得再参与本项目投标。</w:t>
            </w:r>
          </w:p>
        </w:tc>
        <w:tc>
          <w:tcPr>
            <w:tcW w:w="626" w:type="pct"/>
            <w:vMerge w:val="continue"/>
            <w:tcBorders>
              <w:top w:val="nil"/>
              <w:left w:val="nil"/>
              <w:bottom w:val="single" w:color="auto" w:sz="4" w:space="0"/>
              <w:right w:val="single" w:color="auto" w:sz="4" w:space="0"/>
            </w:tcBorders>
            <w:shd w:val="clear" w:color="auto" w:fill="auto"/>
            <w:vAlign w:val="center"/>
          </w:tcPr>
          <w:p w14:paraId="36A8AB4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221E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90" w:hRule="atLeast"/>
          <w:jc w:val="center"/>
        </w:trPr>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3E7B6D7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8</w:t>
            </w:r>
          </w:p>
        </w:tc>
        <w:tc>
          <w:tcPr>
            <w:tcW w:w="3923" w:type="pct"/>
            <w:tcBorders>
              <w:top w:val="single" w:color="auto" w:sz="4" w:space="0"/>
              <w:left w:val="nil"/>
              <w:bottom w:val="single" w:color="auto" w:sz="4" w:space="0"/>
              <w:right w:val="single" w:color="auto" w:sz="4" w:space="0"/>
            </w:tcBorders>
            <w:shd w:val="clear" w:color="auto" w:fill="auto"/>
            <w:vAlign w:val="center"/>
          </w:tcPr>
          <w:p w14:paraId="1FF3ECDA">
            <w:pPr>
              <w:pStyle w:val="11"/>
              <w:keepNext w:val="0"/>
              <w:keepLines w:val="0"/>
              <w:widowControl w:val="0"/>
              <w:suppressLineNumbers w:val="0"/>
              <w:spacing w:before="178" w:beforeAutospacing="0" w:after="0" w:afterAutospacing="0" w:line="360" w:lineRule="auto"/>
              <w:ind w:left="0" w:right="0"/>
              <w:jc w:val="left"/>
              <w:rPr>
                <w:rFonts w:hint="eastAsia" w:ascii="宋体" w:hAnsi="宋体" w:eastAsia="Tahoma" w:cs="宋体"/>
                <w:kern w:val="0"/>
                <w:sz w:val="24"/>
                <w:szCs w:val="24"/>
              </w:rPr>
            </w:pPr>
            <w:r>
              <w:rPr>
                <w:rFonts w:hint="default" w:ascii="Tahoma" w:hAnsi="Tahoma" w:eastAsia="Tahoma" w:cs="Tahoma"/>
                <w:kern w:val="0"/>
                <w:sz w:val="24"/>
                <w:szCs w:val="24"/>
                <w:lang w:val="en-US" w:eastAsia="zh-CN" w:bidi="ar"/>
              </w:rPr>
              <w:t>本项目不接受联合体投标。</w:t>
            </w:r>
          </w:p>
        </w:tc>
        <w:tc>
          <w:tcPr>
            <w:tcW w:w="626" w:type="pct"/>
            <w:vMerge w:val="continue"/>
            <w:tcBorders>
              <w:top w:val="nil"/>
              <w:left w:val="nil"/>
              <w:bottom w:val="single" w:color="auto" w:sz="4" w:space="0"/>
              <w:right w:val="single" w:color="auto" w:sz="4" w:space="0"/>
            </w:tcBorders>
            <w:shd w:val="clear" w:color="auto" w:fill="auto"/>
            <w:vAlign w:val="center"/>
          </w:tcPr>
          <w:p w14:paraId="24A90F4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76625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314" w:hRule="atLeast"/>
          <w:jc w:val="center"/>
        </w:trPr>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3E79252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9</w:t>
            </w:r>
          </w:p>
        </w:tc>
        <w:tc>
          <w:tcPr>
            <w:tcW w:w="3923" w:type="pct"/>
            <w:tcBorders>
              <w:top w:val="single" w:color="auto" w:sz="4" w:space="0"/>
              <w:left w:val="nil"/>
              <w:bottom w:val="single" w:color="auto" w:sz="4" w:space="0"/>
              <w:right w:val="single" w:color="auto" w:sz="4" w:space="0"/>
            </w:tcBorders>
            <w:shd w:val="clear" w:color="auto" w:fill="auto"/>
            <w:vAlign w:val="center"/>
          </w:tcPr>
          <w:p w14:paraId="032E281B">
            <w:pPr>
              <w:pStyle w:val="11"/>
              <w:keepNext w:val="0"/>
              <w:keepLines w:val="0"/>
              <w:widowControl w:val="0"/>
              <w:suppressLineNumbers w:val="0"/>
              <w:spacing w:before="178" w:beforeAutospacing="0" w:after="0" w:afterAutospacing="0" w:line="360" w:lineRule="auto"/>
              <w:ind w:left="0" w:right="0"/>
              <w:jc w:val="left"/>
              <w:rPr>
                <w:rFonts w:hint="eastAsia" w:ascii="宋体" w:hAnsi="宋体" w:eastAsia="Tahoma" w:cs="宋体"/>
                <w:kern w:val="0"/>
                <w:sz w:val="24"/>
                <w:szCs w:val="24"/>
              </w:rPr>
            </w:pPr>
            <w:r>
              <w:rPr>
                <w:rFonts w:hint="default" w:ascii="Tahoma" w:hAnsi="Tahoma" w:eastAsia="Tahoma" w:cs="Tahoma"/>
                <w:kern w:val="0"/>
                <w:sz w:val="24"/>
                <w:szCs w:val="24"/>
                <w:lang w:val="en-US" w:eastAsia="zh-CN" w:bidi="ar"/>
              </w:rPr>
              <w:t>已获取本项目招标文件。</w:t>
            </w:r>
          </w:p>
        </w:tc>
        <w:tc>
          <w:tcPr>
            <w:tcW w:w="626" w:type="pct"/>
            <w:vMerge w:val="continue"/>
            <w:tcBorders>
              <w:top w:val="nil"/>
              <w:left w:val="nil"/>
              <w:bottom w:val="single" w:color="auto" w:sz="4" w:space="0"/>
              <w:right w:val="single" w:color="auto" w:sz="4" w:space="0"/>
            </w:tcBorders>
            <w:shd w:val="clear" w:color="auto" w:fill="auto"/>
            <w:vAlign w:val="center"/>
          </w:tcPr>
          <w:p w14:paraId="30ADB57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65A14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314" w:hRule="atLeast"/>
          <w:jc w:val="center"/>
        </w:trPr>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30AC8E11">
            <w:pPr>
              <w:keepNext w:val="0"/>
              <w:keepLines w:val="0"/>
              <w:widowControl w:val="0"/>
              <w:suppressLineNumbers w:val="0"/>
              <w:spacing w:before="0" w:beforeAutospacing="0" w:after="0" w:afterAutospacing="0" w:line="360" w:lineRule="auto"/>
              <w:ind w:left="0" w:right="0"/>
              <w:jc w:val="center"/>
              <w:rPr>
                <w:rFonts w:hint="default"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10</w:t>
            </w:r>
          </w:p>
        </w:tc>
        <w:tc>
          <w:tcPr>
            <w:tcW w:w="3923" w:type="pct"/>
            <w:tcBorders>
              <w:top w:val="single" w:color="auto" w:sz="4" w:space="0"/>
              <w:left w:val="nil"/>
              <w:bottom w:val="single" w:color="auto" w:sz="4" w:space="0"/>
              <w:right w:val="single" w:color="auto" w:sz="4" w:space="0"/>
            </w:tcBorders>
            <w:shd w:val="clear" w:color="auto" w:fill="auto"/>
            <w:vAlign w:val="center"/>
          </w:tcPr>
          <w:p w14:paraId="27DF2872">
            <w:pPr>
              <w:pStyle w:val="11"/>
              <w:keepNext w:val="0"/>
              <w:keepLines w:val="0"/>
              <w:widowControl w:val="0"/>
              <w:suppressLineNumbers w:val="0"/>
              <w:spacing w:before="178" w:beforeAutospacing="0" w:after="0" w:afterAutospacing="0" w:line="360" w:lineRule="auto"/>
              <w:ind w:left="0" w:right="0"/>
              <w:jc w:val="left"/>
              <w:rPr>
                <w:rFonts w:hint="eastAsia" w:ascii="Tahoma" w:hAnsi="Tahoma" w:eastAsia="Tahoma" w:cs="Tahoma"/>
                <w:kern w:val="0"/>
                <w:sz w:val="24"/>
                <w:szCs w:val="24"/>
                <w:lang w:val="en-US" w:eastAsia="zh" w:bidi="ar"/>
                <w:woUserID w:val="2"/>
              </w:rPr>
            </w:pPr>
            <w:r>
              <w:rPr>
                <w:rFonts w:hint="default" w:ascii="Tahoma" w:hAnsi="Tahoma" w:eastAsia="Tahoma" w:cs="Tahoma"/>
                <w:kern w:val="0"/>
                <w:sz w:val="24"/>
                <w:szCs w:val="24"/>
                <w:lang w:val="en-US" w:eastAsia="zh-CN" w:bidi="ar"/>
              </w:rPr>
              <w:t>具有消防设施工程专业承包壹级资质和消防设施工程设计专项乙级（或以上）资质</w:t>
            </w:r>
            <w:r>
              <w:rPr>
                <w:rFonts w:hint="eastAsia" w:ascii="Tahoma" w:hAnsi="Tahoma" w:eastAsia="Tahoma" w:cs="Tahoma"/>
                <w:kern w:val="0"/>
                <w:sz w:val="24"/>
                <w:szCs w:val="24"/>
                <w:lang w:val="en-US" w:eastAsia="zh" w:bidi="ar"/>
                <w:woUserID w:val="2"/>
              </w:rPr>
              <w:t>。</w:t>
            </w:r>
          </w:p>
        </w:tc>
        <w:tc>
          <w:tcPr>
            <w:tcW w:w="626" w:type="pct"/>
            <w:tcBorders>
              <w:top w:val="nil"/>
              <w:left w:val="nil"/>
              <w:bottom w:val="single" w:color="auto" w:sz="4" w:space="0"/>
              <w:right w:val="single" w:color="auto" w:sz="4" w:space="0"/>
            </w:tcBorders>
            <w:shd w:val="clear" w:color="auto" w:fill="auto"/>
            <w:vAlign w:val="center"/>
          </w:tcPr>
          <w:p w14:paraId="2D884D1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694C6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314" w:hRule="atLeast"/>
          <w:jc w:val="center"/>
        </w:trPr>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20242FD9">
            <w:pPr>
              <w:keepNext w:val="0"/>
              <w:keepLines w:val="0"/>
              <w:widowControl w:val="0"/>
              <w:suppressLineNumbers w:val="0"/>
              <w:spacing w:before="0" w:beforeAutospacing="0" w:after="0" w:afterAutospacing="0" w:line="360" w:lineRule="auto"/>
              <w:ind w:left="0" w:leftChars="0" w:right="0" w:firstLine="0" w:firstLineChars="0"/>
              <w:jc w:val="center"/>
              <w:rPr>
                <w:rFonts w:hint="eastAsia" w:ascii="宋体" w:hAnsi="宋体" w:eastAsia="宋体" w:cs="宋体"/>
                <w:kern w:val="2"/>
                <w:sz w:val="24"/>
                <w:szCs w:val="24"/>
                <w:lang w:val="en-US" w:eastAsia="zh" w:bidi="ar"/>
                <w:woUserID w:val="2"/>
              </w:rPr>
            </w:pPr>
            <w:r>
              <w:rPr>
                <w:rFonts w:hint="eastAsia" w:ascii="宋体" w:hAnsi="宋体" w:eastAsia="宋体" w:cs="宋体"/>
                <w:kern w:val="2"/>
                <w:sz w:val="24"/>
                <w:szCs w:val="24"/>
                <w:lang w:val="en-US" w:eastAsia="zh" w:bidi="ar"/>
                <w:woUserID w:val="2"/>
              </w:rPr>
              <w:t>11</w:t>
            </w:r>
          </w:p>
        </w:tc>
        <w:tc>
          <w:tcPr>
            <w:tcW w:w="3923" w:type="pct"/>
            <w:tcBorders>
              <w:top w:val="single" w:color="auto" w:sz="4" w:space="0"/>
              <w:left w:val="nil"/>
              <w:bottom w:val="single" w:color="auto" w:sz="4" w:space="0"/>
              <w:right w:val="single" w:color="auto" w:sz="4" w:space="0"/>
            </w:tcBorders>
            <w:shd w:val="clear" w:color="auto" w:fill="auto"/>
            <w:vAlign w:val="center"/>
          </w:tcPr>
          <w:p w14:paraId="6682A644">
            <w:pPr>
              <w:pStyle w:val="11"/>
              <w:keepNext w:val="0"/>
              <w:keepLines w:val="0"/>
              <w:widowControl w:val="0"/>
              <w:suppressLineNumbers w:val="0"/>
              <w:spacing w:before="178" w:beforeAutospacing="0" w:after="0" w:afterAutospacing="0" w:line="360" w:lineRule="auto"/>
              <w:ind w:left="0" w:leftChars="0" w:right="0" w:firstLine="0" w:firstLineChars="0"/>
              <w:jc w:val="left"/>
              <w:rPr>
                <w:rFonts w:hint="eastAsia" w:ascii="Tahoma" w:hAnsi="Tahoma" w:eastAsia="Tahoma" w:cs="Tahoma"/>
                <w:kern w:val="0"/>
                <w:sz w:val="24"/>
                <w:szCs w:val="24"/>
                <w:lang w:val="en-US" w:eastAsia="zh" w:bidi="ar"/>
                <w:woUserID w:val="2"/>
              </w:rPr>
            </w:pPr>
            <w:r>
              <w:rPr>
                <w:rFonts w:hint="eastAsia" w:ascii="Tahoma" w:hAnsi="Tahoma" w:eastAsia="Tahoma" w:cs="Tahoma"/>
                <w:kern w:val="0"/>
                <w:sz w:val="24"/>
                <w:szCs w:val="24"/>
                <w:lang w:val="en-US" w:eastAsia="zh" w:bidi="ar"/>
                <w:woUserID w:val="2"/>
              </w:rPr>
              <w:t>具备有效期内《安全生产许可证》。</w:t>
            </w:r>
          </w:p>
        </w:tc>
        <w:tc>
          <w:tcPr>
            <w:tcW w:w="626" w:type="pct"/>
            <w:tcBorders>
              <w:top w:val="nil"/>
              <w:left w:val="nil"/>
              <w:bottom w:val="single" w:color="auto" w:sz="4" w:space="0"/>
              <w:right w:val="single" w:color="auto" w:sz="4" w:space="0"/>
            </w:tcBorders>
            <w:shd w:val="clear" w:color="auto" w:fill="auto"/>
            <w:vAlign w:val="center"/>
          </w:tcPr>
          <w:p w14:paraId="5E975E14">
            <w:pPr>
              <w:keepNext w:val="0"/>
              <w:keepLines w:val="0"/>
              <w:suppressLineNumbers w:val="0"/>
              <w:spacing w:before="0" w:beforeAutospacing="0" w:after="0" w:afterAutospacing="0"/>
              <w:ind w:left="0" w:leftChars="0" w:right="0" w:firstLine="0" w:firstLineChars="0"/>
              <w:rPr>
                <w:rFonts w:hint="default" w:ascii="Times New Roman" w:hAnsi="Times New Roman" w:cs="Times New Roman"/>
                <w:sz w:val="20"/>
                <w:szCs w:val="20"/>
              </w:rPr>
            </w:pPr>
          </w:p>
        </w:tc>
      </w:tr>
      <w:tr w14:paraId="542E2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676" w:hRule="atLeast"/>
          <w:jc w:val="center"/>
        </w:trPr>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153BFED0">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b/>
                <w:bCs w:val="0"/>
                <w:kern w:val="2"/>
                <w:sz w:val="24"/>
                <w:szCs w:val="24"/>
              </w:rPr>
            </w:pPr>
            <w:r>
              <w:rPr>
                <w:rFonts w:hint="default" w:ascii="Tahoma" w:hAnsi="Tahoma" w:eastAsia="Tahoma" w:cs="Tahoma"/>
                <w:b/>
                <w:bCs w:val="0"/>
                <w:kern w:val="2"/>
                <w:sz w:val="24"/>
                <w:szCs w:val="24"/>
                <w:lang w:val="en-US" w:eastAsia="zh-CN" w:bidi="ar"/>
              </w:rPr>
              <w:t>结</w:t>
            </w:r>
            <w:r>
              <w:rPr>
                <w:rFonts w:hint="eastAsia" w:ascii="宋体" w:hAnsi="宋体" w:eastAsia="Tahoma" w:cs="Tahoma"/>
                <w:b/>
                <w:bCs w:val="0"/>
                <w:kern w:val="2"/>
                <w:sz w:val="24"/>
                <w:szCs w:val="24"/>
                <w:lang w:val="en-US" w:eastAsia="zh-CN" w:bidi="ar"/>
              </w:rPr>
              <w:t xml:space="preserve"> </w:t>
            </w:r>
            <w:r>
              <w:rPr>
                <w:rFonts w:hint="default" w:ascii="Tahoma" w:hAnsi="Tahoma" w:eastAsia="Tahoma" w:cs="Tahoma"/>
                <w:b/>
                <w:bCs w:val="0"/>
                <w:kern w:val="2"/>
                <w:sz w:val="24"/>
                <w:szCs w:val="24"/>
                <w:lang w:val="en-US" w:eastAsia="zh-CN" w:bidi="ar"/>
              </w:rPr>
              <w:t>论</w:t>
            </w:r>
          </w:p>
        </w:tc>
        <w:tc>
          <w:tcPr>
            <w:tcW w:w="4550" w:type="pct"/>
            <w:gridSpan w:val="2"/>
            <w:tcBorders>
              <w:top w:val="single" w:color="auto" w:sz="4" w:space="0"/>
              <w:left w:val="nil"/>
              <w:bottom w:val="single" w:color="auto" w:sz="4" w:space="0"/>
              <w:right w:val="single" w:color="auto" w:sz="4" w:space="0"/>
            </w:tcBorders>
            <w:shd w:val="clear" w:color="auto" w:fill="auto"/>
            <w:vAlign w:val="top"/>
          </w:tcPr>
          <w:p w14:paraId="7757D011">
            <w:pPr>
              <w:keepNext w:val="0"/>
              <w:keepLines w:val="0"/>
              <w:widowControl w:val="0"/>
              <w:suppressLineNumbers w:val="0"/>
              <w:spacing w:before="0" w:beforeAutospacing="0" w:after="0" w:afterAutospacing="0" w:line="360" w:lineRule="auto"/>
              <w:ind w:left="0" w:right="0"/>
              <w:jc w:val="both"/>
              <w:rPr>
                <w:rFonts w:hint="eastAsia" w:ascii="宋体" w:hAnsi="宋体" w:eastAsia="Tahoma" w:cs="Tahoma"/>
                <w:kern w:val="2"/>
                <w:sz w:val="24"/>
                <w:szCs w:val="24"/>
              </w:rPr>
            </w:pPr>
          </w:p>
        </w:tc>
      </w:tr>
    </w:tbl>
    <w:p w14:paraId="5C14C08D">
      <w:pPr>
        <w:keepNext w:val="0"/>
        <w:keepLines w:val="0"/>
        <w:widowControl/>
        <w:suppressLineNumbers w:val="0"/>
        <w:spacing w:before="0" w:beforeAutospacing="0" w:after="0" w:afterAutospacing="0" w:line="360" w:lineRule="auto"/>
        <w:ind w:left="708" w:right="0" w:hanging="708"/>
        <w:jc w:val="both"/>
        <w:rPr>
          <w:rFonts w:hint="eastAsia" w:ascii="宋体" w:hAnsi="宋体" w:eastAsia="宋体" w:cs="宋体"/>
          <w:kern w:val="0"/>
          <w:sz w:val="24"/>
          <w:szCs w:val="24"/>
        </w:rPr>
      </w:pPr>
      <w:r>
        <w:rPr>
          <w:rFonts w:hint="default" w:ascii="Tahoma" w:hAnsi="Tahoma" w:eastAsia="Tahoma" w:cs="Tahoma"/>
          <w:kern w:val="0"/>
          <w:sz w:val="24"/>
          <w:szCs w:val="24"/>
          <w:lang w:val="en-US" w:eastAsia="zh-CN" w:bidi="ar"/>
        </w:rPr>
        <w:t>注：</w:t>
      </w:r>
      <w:r>
        <w:rPr>
          <w:rFonts w:hint="eastAsia" w:ascii="宋体" w:hAnsi="宋体" w:eastAsia="宋体" w:cs="宋体"/>
          <w:kern w:val="0"/>
          <w:sz w:val="24"/>
          <w:szCs w:val="24"/>
          <w:lang w:val="en-US" w:eastAsia="zh-CN" w:bidi="ar"/>
        </w:rPr>
        <w:t xml:space="preserve">1. </w:t>
      </w:r>
      <w:r>
        <w:rPr>
          <w:rFonts w:hint="default" w:ascii="Tahoma" w:hAnsi="Tahoma" w:eastAsia="Tahoma" w:cs="Tahoma"/>
          <w:kern w:val="0"/>
          <w:sz w:val="24"/>
          <w:szCs w:val="24"/>
          <w:lang w:val="en-US" w:eastAsia="zh-CN" w:bidi="ar"/>
        </w:rPr>
        <w:t>每一项符合的打</w:t>
      </w:r>
      <w:r>
        <w:rPr>
          <w:rFonts w:hint="eastAsia" w:ascii="宋体" w:hAnsi="宋体" w:eastAsia="宋体" w:cs="宋体"/>
          <w:kern w:val="0"/>
          <w:sz w:val="24"/>
          <w:szCs w:val="24"/>
          <w:lang w:val="en-US" w:eastAsia="zh-CN" w:bidi="ar"/>
        </w:rPr>
        <w:t>“</w:t>
      </w:r>
      <w:r>
        <w:rPr>
          <w:rFonts w:hint="default" w:ascii="Arial" w:hAnsi="Arial" w:eastAsia="Tahoma" w:cs="Arial"/>
          <w:kern w:val="0"/>
          <w:sz w:val="24"/>
          <w:szCs w:val="24"/>
          <w:lang w:val="en-US" w:eastAsia="zh-CN" w:bidi="ar"/>
        </w:rPr>
        <w:t>√</w:t>
      </w:r>
      <w:r>
        <w:rPr>
          <w:rFonts w:hint="eastAsia" w:ascii="宋体" w:hAnsi="宋体" w:eastAsia="宋体" w:cs="宋体"/>
          <w:kern w:val="0"/>
          <w:sz w:val="24"/>
          <w:szCs w:val="24"/>
          <w:lang w:val="en-US" w:eastAsia="zh-CN" w:bidi="ar"/>
        </w:rPr>
        <w:t>”</w:t>
      </w:r>
      <w:r>
        <w:rPr>
          <w:rFonts w:hint="default" w:ascii="Tahoma" w:hAnsi="Tahoma" w:eastAsia="Tahoma" w:cs="Tahoma"/>
          <w:kern w:val="0"/>
          <w:sz w:val="24"/>
          <w:szCs w:val="24"/>
          <w:lang w:val="en-US" w:eastAsia="zh-CN" w:bidi="ar"/>
        </w:rPr>
        <w:t>，不符合的打</w:t>
      </w:r>
      <w:r>
        <w:rPr>
          <w:rFonts w:hint="eastAsia" w:ascii="宋体" w:hAnsi="宋体" w:eastAsia="宋体" w:cs="宋体"/>
          <w:kern w:val="0"/>
          <w:sz w:val="24"/>
          <w:szCs w:val="24"/>
          <w:lang w:val="en-US" w:eastAsia="zh-CN" w:bidi="ar"/>
        </w:rPr>
        <w:t>“×”</w:t>
      </w:r>
      <w:r>
        <w:rPr>
          <w:rFonts w:hint="default" w:ascii="Tahoma" w:hAnsi="Tahoma" w:eastAsia="Tahoma" w:cs="Tahoma"/>
          <w:kern w:val="0"/>
          <w:sz w:val="24"/>
          <w:szCs w:val="24"/>
          <w:lang w:val="en-US" w:eastAsia="zh-CN" w:bidi="ar"/>
        </w:rPr>
        <w:t>。</w:t>
      </w:r>
    </w:p>
    <w:p w14:paraId="22614183">
      <w:pPr>
        <w:keepNext w:val="0"/>
        <w:keepLines w:val="0"/>
        <w:widowControl/>
        <w:suppressLineNumbers w:val="0"/>
        <w:spacing w:before="0" w:beforeAutospacing="0" w:after="0" w:afterAutospacing="0" w:line="360" w:lineRule="auto"/>
        <w:ind w:left="360" w:right="0" w:hanging="360" w:hangingChars="150"/>
        <w:jc w:val="both"/>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2.</w:t>
      </w:r>
      <w:r>
        <w:rPr>
          <w:rFonts w:hint="default" w:ascii="Tahoma" w:hAnsi="Tahoma" w:eastAsia="Tahoma" w:cs="Tahoma"/>
          <w:kern w:val="0"/>
          <w:sz w:val="24"/>
          <w:szCs w:val="24"/>
          <w:lang w:val="en-US" w:eastAsia="zh-CN" w:bidi="ar"/>
        </w:rPr>
        <w:t>“结论</w:t>
      </w:r>
      <w:r>
        <w:rPr>
          <w:rFonts w:hint="eastAsia" w:ascii="宋体" w:hAnsi="宋体" w:eastAsia="宋体" w:cs="宋体"/>
          <w:kern w:val="0"/>
          <w:sz w:val="24"/>
          <w:szCs w:val="24"/>
          <w:lang w:val="en-US" w:eastAsia="zh-CN" w:bidi="ar"/>
        </w:rPr>
        <w:t>”</w:t>
      </w:r>
      <w:r>
        <w:rPr>
          <w:rFonts w:hint="default" w:ascii="Tahoma" w:hAnsi="Tahoma" w:eastAsia="Tahoma" w:cs="Tahoma"/>
          <w:kern w:val="0"/>
          <w:sz w:val="24"/>
          <w:szCs w:val="24"/>
          <w:lang w:val="en-US" w:eastAsia="zh-CN" w:bidi="ar"/>
        </w:rPr>
        <w:t>一栏填写</w:t>
      </w:r>
      <w:r>
        <w:rPr>
          <w:rFonts w:hint="eastAsia" w:ascii="宋体" w:hAnsi="宋体" w:eastAsia="宋体" w:cs="宋体"/>
          <w:kern w:val="0"/>
          <w:sz w:val="24"/>
          <w:szCs w:val="24"/>
          <w:lang w:val="en-US" w:eastAsia="zh-CN" w:bidi="ar"/>
        </w:rPr>
        <w:t>“</w:t>
      </w:r>
      <w:r>
        <w:rPr>
          <w:rFonts w:hint="default" w:ascii="Tahoma" w:hAnsi="Tahoma" w:eastAsia="Tahoma" w:cs="Tahoma"/>
          <w:kern w:val="0"/>
          <w:sz w:val="24"/>
          <w:szCs w:val="24"/>
          <w:lang w:val="en-US" w:eastAsia="zh-CN" w:bidi="ar"/>
        </w:rPr>
        <w:t>通过</w:t>
      </w:r>
      <w:r>
        <w:rPr>
          <w:rFonts w:hint="eastAsia" w:ascii="宋体" w:hAnsi="宋体" w:eastAsia="宋体" w:cs="宋体"/>
          <w:kern w:val="0"/>
          <w:sz w:val="24"/>
          <w:szCs w:val="24"/>
          <w:lang w:val="en-US" w:eastAsia="zh-CN" w:bidi="ar"/>
        </w:rPr>
        <w:t>”</w:t>
      </w:r>
      <w:r>
        <w:rPr>
          <w:rFonts w:hint="default" w:ascii="Tahoma" w:hAnsi="Tahoma" w:eastAsia="Tahoma" w:cs="Tahoma"/>
          <w:kern w:val="0"/>
          <w:sz w:val="24"/>
          <w:szCs w:val="24"/>
          <w:lang w:val="en-US" w:eastAsia="zh-CN" w:bidi="ar"/>
        </w:rPr>
        <w:t>或</w:t>
      </w:r>
      <w:r>
        <w:rPr>
          <w:rFonts w:hint="eastAsia" w:ascii="宋体" w:hAnsi="宋体" w:eastAsia="宋体" w:cs="宋体"/>
          <w:kern w:val="0"/>
          <w:sz w:val="24"/>
          <w:szCs w:val="24"/>
          <w:lang w:val="en-US" w:eastAsia="zh-CN" w:bidi="ar"/>
        </w:rPr>
        <w:t>“</w:t>
      </w:r>
      <w:r>
        <w:rPr>
          <w:rFonts w:hint="default" w:ascii="Tahoma" w:hAnsi="Tahoma" w:eastAsia="Tahoma" w:cs="Tahoma"/>
          <w:kern w:val="0"/>
          <w:sz w:val="24"/>
          <w:szCs w:val="24"/>
          <w:lang w:val="en-US" w:eastAsia="zh-CN" w:bidi="ar"/>
        </w:rPr>
        <w:t>不通过</w:t>
      </w:r>
      <w:r>
        <w:rPr>
          <w:rFonts w:hint="eastAsia" w:ascii="宋体" w:hAnsi="宋体" w:eastAsia="宋体" w:cs="宋体"/>
          <w:kern w:val="0"/>
          <w:sz w:val="24"/>
          <w:szCs w:val="24"/>
          <w:lang w:val="en-US" w:eastAsia="zh-CN" w:bidi="ar"/>
        </w:rPr>
        <w:t>”</w:t>
      </w:r>
      <w:r>
        <w:rPr>
          <w:rFonts w:hint="default" w:ascii="Tahoma" w:hAnsi="Tahoma" w:eastAsia="Tahoma" w:cs="Tahoma"/>
          <w:kern w:val="0"/>
          <w:sz w:val="24"/>
          <w:szCs w:val="24"/>
          <w:lang w:val="en-US" w:eastAsia="zh-CN" w:bidi="ar"/>
        </w:rPr>
        <w:t>；任何一项出现</w:t>
      </w:r>
      <w:r>
        <w:rPr>
          <w:rFonts w:hint="eastAsia" w:ascii="宋体" w:hAnsi="宋体" w:eastAsia="宋体" w:cs="宋体"/>
          <w:kern w:val="0"/>
          <w:sz w:val="24"/>
          <w:szCs w:val="24"/>
          <w:lang w:val="en-US" w:eastAsia="zh-CN" w:bidi="ar"/>
        </w:rPr>
        <w:t>“×”</w:t>
      </w:r>
      <w:r>
        <w:rPr>
          <w:rFonts w:hint="default" w:ascii="Tahoma" w:hAnsi="Tahoma" w:eastAsia="Tahoma" w:cs="Tahoma"/>
          <w:kern w:val="0"/>
          <w:sz w:val="24"/>
          <w:szCs w:val="24"/>
          <w:lang w:val="en-US" w:eastAsia="zh-CN" w:bidi="ar"/>
        </w:rPr>
        <w:t>的，结论为不通过；不通过的为无效报价。</w:t>
      </w:r>
    </w:p>
    <w:p w14:paraId="11A5500A">
      <w:pPr>
        <w:keepNext w:val="0"/>
        <w:keepLines w:val="0"/>
        <w:widowControl w:val="0"/>
        <w:suppressLineNumbers w:val="0"/>
        <w:spacing w:before="0" w:beforeAutospacing="0" w:after="0" w:afterAutospacing="0" w:line="360" w:lineRule="auto"/>
        <w:ind w:left="360" w:right="0" w:hanging="360" w:hangingChars="150"/>
        <w:jc w:val="both"/>
        <w:outlineLvl w:val="2"/>
      </w:pPr>
      <w:r>
        <w:rPr>
          <w:rFonts w:hint="eastAsia" w:ascii="宋体" w:hAnsi="宋体" w:eastAsia="宋体" w:cs="宋体"/>
          <w:kern w:val="0"/>
          <w:sz w:val="24"/>
          <w:szCs w:val="24"/>
          <w:lang w:val="en-US" w:eastAsia="zh-CN" w:bidi="ar"/>
        </w:rPr>
        <w:t xml:space="preserve">3. </w:t>
      </w:r>
      <w:r>
        <w:rPr>
          <w:rFonts w:hint="default" w:ascii="Tahoma" w:hAnsi="Tahoma" w:eastAsia="Tahoma" w:cs="Tahoma"/>
          <w:kern w:val="0"/>
          <w:sz w:val="24"/>
          <w:szCs w:val="24"/>
          <w:lang w:val="en-US" w:eastAsia="zh-CN" w:bidi="ar"/>
        </w:rPr>
        <w:t>合格供应商不足</w:t>
      </w:r>
      <w:r>
        <w:rPr>
          <w:rFonts w:hint="eastAsia" w:ascii="宋体" w:hAnsi="宋体" w:eastAsia="宋体" w:cs="宋体"/>
          <w:kern w:val="0"/>
          <w:sz w:val="24"/>
          <w:szCs w:val="24"/>
          <w:lang w:val="en-US" w:eastAsia="zh-CN" w:bidi="ar"/>
        </w:rPr>
        <w:t>3</w:t>
      </w:r>
      <w:r>
        <w:rPr>
          <w:rFonts w:hint="default" w:ascii="Tahoma" w:hAnsi="Tahoma" w:eastAsia="Tahoma" w:cs="Tahoma"/>
          <w:kern w:val="0"/>
          <w:sz w:val="24"/>
          <w:szCs w:val="24"/>
          <w:lang w:val="en-US" w:eastAsia="zh-CN" w:bidi="ar"/>
        </w:rPr>
        <w:t>家的，不得评标。</w:t>
      </w:r>
    </w:p>
    <w:p w14:paraId="752F9B87">
      <w:pPr>
        <w:spacing w:line="360" w:lineRule="auto"/>
        <w:rPr>
          <w:rFonts w:hint="eastAsia" w:ascii="宋体" w:hAnsi="宋体" w:eastAsia="宋体" w:cs="宋体"/>
          <w:kern w:val="0"/>
          <w:sz w:val="24"/>
          <w:szCs w:val="24"/>
        </w:rPr>
        <w:sectPr>
          <w:pgSz w:w="11906" w:h="16838"/>
          <w:pgMar w:top="1440" w:right="1418" w:bottom="1440" w:left="1418" w:header="851" w:footer="851" w:gutter="0"/>
          <w:cols w:space="425" w:num="1"/>
          <w:docGrid w:type="lines" w:linePitch="312" w:charSpace="0"/>
        </w:sectPr>
      </w:pPr>
    </w:p>
    <w:p w14:paraId="4618C909">
      <w:pPr>
        <w:keepNext w:val="0"/>
        <w:keepLines w:val="0"/>
        <w:widowControl w:val="0"/>
        <w:suppressLineNumbers w:val="0"/>
        <w:spacing w:before="0" w:beforeAutospacing="0" w:after="0" w:afterAutospacing="0" w:line="400" w:lineRule="exact"/>
        <w:ind w:left="0" w:right="0"/>
        <w:jc w:val="both"/>
        <w:outlineLvl w:val="1"/>
        <w:rPr>
          <w:rFonts w:hint="default" w:ascii="宋体" w:hAnsi="宋体" w:eastAsia="宋体" w:cs="宋体"/>
          <w:b/>
          <w:bCs/>
          <w:kern w:val="2"/>
          <w:sz w:val="24"/>
          <w:szCs w:val="24"/>
          <w:lang w:val="en-US"/>
        </w:rPr>
      </w:pPr>
      <w:r>
        <w:rPr>
          <w:rFonts w:hint="eastAsia" w:ascii="宋体" w:hAnsi="宋体" w:eastAsia="宋体" w:cs="宋体"/>
          <w:b/>
          <w:bCs w:val="0"/>
          <w:color w:val="000000"/>
          <w:kern w:val="2"/>
          <w:sz w:val="28"/>
          <w:szCs w:val="28"/>
          <w:lang w:val="en-US" w:eastAsia="zh-CN" w:bidi="ar"/>
        </w:rPr>
        <w:t>附件二：</w:t>
      </w:r>
      <w:r>
        <w:rPr>
          <w:rFonts w:hint="eastAsia" w:ascii="宋体" w:hAnsi="宋体" w:eastAsia="宋体" w:cs="宋体"/>
          <w:b/>
          <w:bCs/>
          <w:kern w:val="2"/>
          <w:sz w:val="24"/>
          <w:szCs w:val="24"/>
          <w:lang w:val="en-US" w:eastAsia="zh-CN" w:bidi="ar"/>
        </w:rPr>
        <w:t>广州美术学院综合档案室气体灭火消防系统建设项目（三次）</w:t>
      </w:r>
    </w:p>
    <w:p w14:paraId="17C7E8B8">
      <w:pPr>
        <w:keepNext w:val="0"/>
        <w:keepLines w:val="0"/>
        <w:widowControl w:val="0"/>
        <w:suppressLineNumbers w:val="0"/>
        <w:spacing w:before="0" w:beforeAutospacing="0" w:after="0" w:afterAutospacing="0" w:line="400" w:lineRule="exact"/>
        <w:ind w:left="0" w:right="0"/>
        <w:jc w:val="both"/>
        <w:outlineLvl w:val="1"/>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（校内2025-27）</w:t>
      </w:r>
    </w:p>
    <w:p w14:paraId="08254E07">
      <w:pPr>
        <w:keepNext w:val="0"/>
        <w:keepLines w:val="0"/>
        <w:widowControl w:val="0"/>
        <w:suppressLineNumbers w:val="0"/>
        <w:spacing w:before="0" w:beforeAutospacing="0" w:after="0" w:afterAutospacing="0" w:line="360" w:lineRule="auto"/>
        <w:ind w:left="0" w:right="0"/>
        <w:jc w:val="center"/>
        <w:outlineLvl w:val="3"/>
        <w:rPr>
          <w:rFonts w:hint="default" w:ascii="Tahoma" w:hAnsi="Tahoma" w:eastAsia="Tahoma" w:cs="Tahoma"/>
          <w:b/>
          <w:bCs w:val="0"/>
          <w:kern w:val="2"/>
          <w:sz w:val="32"/>
          <w:szCs w:val="32"/>
        </w:rPr>
      </w:pPr>
      <w:r>
        <w:rPr>
          <w:rFonts w:hint="default" w:ascii="Tahoma" w:hAnsi="Tahoma" w:eastAsia="Tahoma" w:cs="Tahoma"/>
          <w:b/>
          <w:bCs w:val="0"/>
          <w:kern w:val="2"/>
          <w:sz w:val="32"/>
          <w:szCs w:val="32"/>
          <w:lang w:val="en-US" w:eastAsia="zh-CN" w:bidi="ar"/>
        </w:rPr>
        <w:t>符合性审查表</w:t>
      </w:r>
    </w:p>
    <w:tbl>
      <w:tblPr>
        <w:tblStyle w:val="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57" w:type="dxa"/>
          <w:bottom w:w="0" w:type="dxa"/>
          <w:right w:w="57" w:type="dxa"/>
        </w:tblCellMar>
      </w:tblPr>
      <w:tblGrid>
        <w:gridCol w:w="864"/>
        <w:gridCol w:w="2811"/>
        <w:gridCol w:w="4742"/>
      </w:tblGrid>
      <w:tr w14:paraId="1A86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680" w:hRule="atLeast"/>
          <w:jc w:val="center"/>
        </w:trPr>
        <w:tc>
          <w:tcPr>
            <w:tcW w:w="513" w:type="pct"/>
            <w:tcBorders>
              <w:top w:val="single" w:color="auto" w:sz="4" w:space="0"/>
              <w:left w:val="single" w:color="auto" w:sz="4" w:space="0"/>
              <w:bottom w:val="single" w:color="auto" w:sz="4" w:space="0"/>
              <w:right w:val="single" w:color="auto" w:sz="4" w:space="0"/>
            </w:tcBorders>
            <w:shd w:val="clear" w:color="auto" w:fill="D9D9D9"/>
            <w:vAlign w:val="center"/>
          </w:tcPr>
          <w:p w14:paraId="7C5B2FCE">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b/>
                <w:bCs w:val="0"/>
                <w:kern w:val="2"/>
                <w:sz w:val="24"/>
                <w:szCs w:val="24"/>
              </w:rPr>
            </w:pPr>
            <w:r>
              <w:rPr>
                <w:rFonts w:hint="default" w:ascii="Tahoma" w:hAnsi="Tahoma" w:eastAsia="Tahoma" w:cs="Tahoma"/>
                <w:b/>
                <w:bCs w:val="0"/>
                <w:kern w:val="2"/>
                <w:sz w:val="24"/>
                <w:szCs w:val="24"/>
                <w:lang w:val="en-US" w:eastAsia="zh-CN" w:bidi="ar"/>
              </w:rPr>
              <w:t>序号</w:t>
            </w:r>
          </w:p>
        </w:tc>
        <w:tc>
          <w:tcPr>
            <w:tcW w:w="1669" w:type="pct"/>
            <w:tcBorders>
              <w:top w:val="single" w:color="auto" w:sz="4" w:space="0"/>
              <w:left w:val="nil"/>
              <w:bottom w:val="single" w:color="auto" w:sz="4" w:space="0"/>
              <w:right w:val="single" w:color="auto" w:sz="4" w:space="0"/>
            </w:tcBorders>
            <w:shd w:val="clear" w:color="auto" w:fill="D9D9D9"/>
            <w:vAlign w:val="center"/>
          </w:tcPr>
          <w:p w14:paraId="4A698193">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kern w:val="2"/>
                <w:sz w:val="24"/>
                <w:szCs w:val="24"/>
              </w:rPr>
            </w:pPr>
            <w:r>
              <w:rPr>
                <w:rFonts w:hint="default" w:ascii="Tahoma" w:hAnsi="Tahoma" w:eastAsia="Tahoma" w:cs="Tahoma"/>
                <w:b/>
                <w:bCs w:val="0"/>
                <w:kern w:val="2"/>
                <w:sz w:val="24"/>
                <w:szCs w:val="24"/>
                <w:lang w:val="en-US" w:eastAsia="zh-CN" w:bidi="ar"/>
              </w:rPr>
              <w:t>审查内容</w:t>
            </w:r>
          </w:p>
        </w:tc>
        <w:tc>
          <w:tcPr>
            <w:tcW w:w="2814" w:type="pct"/>
            <w:tcBorders>
              <w:top w:val="single" w:color="auto" w:sz="4" w:space="0"/>
              <w:left w:val="nil"/>
              <w:bottom w:val="single" w:color="auto" w:sz="4" w:space="0"/>
              <w:right w:val="single" w:color="auto" w:sz="4" w:space="0"/>
            </w:tcBorders>
            <w:shd w:val="clear" w:color="auto" w:fill="D9D9D9"/>
            <w:vAlign w:val="center"/>
          </w:tcPr>
          <w:p w14:paraId="44CF04A4">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kern w:val="2"/>
                <w:sz w:val="24"/>
                <w:szCs w:val="24"/>
              </w:rPr>
            </w:pPr>
            <w:r>
              <w:rPr>
                <w:rFonts w:hint="default" w:ascii="Tahoma" w:hAnsi="Tahoma" w:eastAsia="Tahoma" w:cs="Tahoma"/>
                <w:b/>
                <w:bCs/>
                <w:kern w:val="2"/>
                <w:sz w:val="24"/>
                <w:szCs w:val="24"/>
                <w:lang w:val="en-US" w:eastAsia="zh-CN" w:bidi="ar"/>
              </w:rPr>
              <w:t>审查标准</w:t>
            </w:r>
          </w:p>
        </w:tc>
      </w:tr>
      <w:tr w14:paraId="57D34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660" w:hRule="atLeast"/>
          <w:jc w:val="center"/>
        </w:trPr>
        <w:tc>
          <w:tcPr>
            <w:tcW w:w="513" w:type="pct"/>
            <w:tcBorders>
              <w:top w:val="single" w:color="auto" w:sz="4" w:space="0"/>
              <w:left w:val="single" w:color="auto" w:sz="4" w:space="0"/>
              <w:bottom w:val="single" w:color="auto" w:sz="4" w:space="0"/>
              <w:right w:val="single" w:color="auto" w:sz="4" w:space="0"/>
            </w:tcBorders>
            <w:shd w:val="clear" w:color="auto" w:fill="auto"/>
            <w:vAlign w:val="center"/>
          </w:tcPr>
          <w:p w14:paraId="0ABDD092">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kern w:val="2"/>
                <w:sz w:val="24"/>
                <w:szCs w:val="24"/>
              </w:rPr>
            </w:pPr>
            <w:r>
              <w:rPr>
                <w:rFonts w:hint="eastAsia" w:ascii="宋体" w:hAnsi="宋体" w:eastAsia="宋体" w:cs="宋体"/>
                <w:kern w:val="2"/>
                <w:sz w:val="24"/>
                <w:szCs w:val="24"/>
                <w:lang w:val="en-US" w:eastAsia="zh-CN" w:bidi="ar"/>
              </w:rPr>
              <w:t>1</w:t>
            </w:r>
          </w:p>
        </w:tc>
        <w:tc>
          <w:tcPr>
            <w:tcW w:w="1669" w:type="pct"/>
            <w:tcBorders>
              <w:top w:val="single" w:color="auto" w:sz="4" w:space="0"/>
              <w:left w:val="nil"/>
              <w:bottom w:val="single" w:color="auto" w:sz="4" w:space="0"/>
              <w:right w:val="single" w:color="auto" w:sz="4" w:space="0"/>
            </w:tcBorders>
            <w:shd w:val="clear" w:color="auto" w:fill="auto"/>
            <w:vAlign w:val="center"/>
          </w:tcPr>
          <w:p w14:paraId="5CB93290">
            <w:pPr>
              <w:keepNext w:val="0"/>
              <w:keepLines w:val="0"/>
              <w:widowControl w:val="0"/>
              <w:suppressLineNumbers w:val="0"/>
              <w:spacing w:before="0" w:beforeAutospacing="0" w:after="0" w:afterAutospacing="0" w:line="360" w:lineRule="auto"/>
              <w:ind w:left="0" w:right="0"/>
              <w:jc w:val="left"/>
              <w:rPr>
                <w:rFonts w:hint="default" w:ascii="宋体" w:hAnsi="宋体" w:eastAsia="Tahoma" w:cs="Tahoma"/>
                <w:kern w:val="2"/>
                <w:sz w:val="24"/>
                <w:szCs w:val="24"/>
              </w:rPr>
            </w:pPr>
            <w:r>
              <w:rPr>
                <w:rFonts w:hint="default" w:ascii="Tahoma" w:hAnsi="Tahoma" w:eastAsia="Tahoma" w:cs="Tahoma"/>
                <w:kern w:val="2"/>
                <w:sz w:val="24"/>
                <w:szCs w:val="24"/>
                <w:lang w:val="en-US" w:eastAsia="zh-CN" w:bidi="ar"/>
              </w:rPr>
              <w:t>投标承诺函</w:t>
            </w:r>
          </w:p>
        </w:tc>
        <w:tc>
          <w:tcPr>
            <w:tcW w:w="2814" w:type="pct"/>
            <w:tcBorders>
              <w:top w:val="single" w:color="auto" w:sz="4" w:space="0"/>
              <w:left w:val="nil"/>
              <w:bottom w:val="single" w:color="auto" w:sz="4" w:space="0"/>
              <w:right w:val="single" w:color="auto" w:sz="4" w:space="0"/>
            </w:tcBorders>
            <w:shd w:val="clear" w:color="auto" w:fill="auto"/>
            <w:vAlign w:val="center"/>
          </w:tcPr>
          <w:p w14:paraId="513ED5CA">
            <w:pPr>
              <w:keepNext w:val="0"/>
              <w:keepLines w:val="0"/>
              <w:widowControl w:val="0"/>
              <w:suppressLineNumbers w:val="0"/>
              <w:spacing w:before="0" w:beforeAutospacing="0" w:after="0" w:afterAutospacing="0" w:line="360" w:lineRule="auto"/>
              <w:ind w:left="0" w:right="0"/>
              <w:jc w:val="both"/>
              <w:rPr>
                <w:rFonts w:hint="eastAsia" w:ascii="宋体" w:hAnsi="宋体" w:eastAsia="Tahoma" w:cs="Tahoma"/>
                <w:kern w:val="2"/>
                <w:sz w:val="24"/>
                <w:szCs w:val="24"/>
              </w:rPr>
            </w:pPr>
            <w:r>
              <w:rPr>
                <w:rFonts w:hint="default" w:ascii="Tahoma" w:hAnsi="Tahoma" w:eastAsia="Tahoma" w:cs="Tahoma"/>
                <w:kern w:val="2"/>
                <w:sz w:val="24"/>
                <w:szCs w:val="24"/>
                <w:lang w:val="en-US" w:eastAsia="zh-CN" w:bidi="ar"/>
              </w:rPr>
              <w:t>按对应格式文件填写、签署、盖章。</w:t>
            </w:r>
          </w:p>
        </w:tc>
      </w:tr>
      <w:tr w14:paraId="5059C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680" w:hRule="atLeast"/>
          <w:jc w:val="center"/>
        </w:trPr>
        <w:tc>
          <w:tcPr>
            <w:tcW w:w="513" w:type="pct"/>
            <w:tcBorders>
              <w:top w:val="single" w:color="auto" w:sz="4" w:space="0"/>
              <w:left w:val="single" w:color="auto" w:sz="4" w:space="0"/>
              <w:bottom w:val="single" w:color="auto" w:sz="4" w:space="0"/>
              <w:right w:val="single" w:color="auto" w:sz="4" w:space="0"/>
            </w:tcBorders>
            <w:shd w:val="clear" w:color="auto" w:fill="auto"/>
            <w:vAlign w:val="center"/>
          </w:tcPr>
          <w:p w14:paraId="6279B012">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kern w:val="2"/>
                <w:sz w:val="24"/>
                <w:szCs w:val="24"/>
              </w:rPr>
            </w:pPr>
            <w:r>
              <w:rPr>
                <w:rFonts w:hint="eastAsia" w:ascii="宋体" w:hAnsi="宋体" w:eastAsia="宋体" w:cs="宋体"/>
                <w:kern w:val="2"/>
                <w:sz w:val="24"/>
                <w:szCs w:val="24"/>
                <w:lang w:val="en-US" w:eastAsia="zh-CN" w:bidi="ar"/>
              </w:rPr>
              <w:t>3</w:t>
            </w:r>
          </w:p>
        </w:tc>
        <w:tc>
          <w:tcPr>
            <w:tcW w:w="1669" w:type="pct"/>
            <w:tcBorders>
              <w:top w:val="single" w:color="auto" w:sz="4" w:space="0"/>
              <w:left w:val="nil"/>
              <w:bottom w:val="single" w:color="auto" w:sz="4" w:space="0"/>
              <w:right w:val="single" w:color="auto" w:sz="4" w:space="0"/>
            </w:tcBorders>
            <w:shd w:val="clear" w:color="auto" w:fill="auto"/>
            <w:vAlign w:val="center"/>
          </w:tcPr>
          <w:p w14:paraId="1E9910E6">
            <w:pPr>
              <w:keepNext w:val="0"/>
              <w:keepLines w:val="0"/>
              <w:widowControl w:val="0"/>
              <w:suppressLineNumbers w:val="0"/>
              <w:spacing w:before="0" w:beforeAutospacing="0" w:after="0" w:afterAutospacing="0" w:line="360" w:lineRule="auto"/>
              <w:ind w:left="0" w:right="0"/>
              <w:jc w:val="left"/>
              <w:rPr>
                <w:rFonts w:hint="eastAsia" w:ascii="宋体" w:hAnsi="宋体" w:eastAsia="Tahoma" w:cs="宋体"/>
                <w:kern w:val="2"/>
                <w:sz w:val="24"/>
                <w:szCs w:val="24"/>
              </w:rPr>
            </w:pPr>
            <w:r>
              <w:rPr>
                <w:rFonts w:hint="default" w:ascii="Tahoma" w:hAnsi="Tahoma" w:eastAsia="Tahoma" w:cs="Tahoma"/>
                <w:kern w:val="2"/>
                <w:sz w:val="24"/>
                <w:szCs w:val="24"/>
                <w:lang w:val="en-US" w:eastAsia="zh-CN" w:bidi="ar"/>
              </w:rPr>
              <w:t>法定代表人（单位负责人）证明书及授权书</w:t>
            </w:r>
          </w:p>
        </w:tc>
        <w:tc>
          <w:tcPr>
            <w:tcW w:w="2814" w:type="pct"/>
            <w:tcBorders>
              <w:top w:val="single" w:color="auto" w:sz="4" w:space="0"/>
              <w:left w:val="nil"/>
              <w:bottom w:val="single" w:color="auto" w:sz="4" w:space="0"/>
              <w:right w:val="single" w:color="auto" w:sz="4" w:space="0"/>
            </w:tcBorders>
            <w:shd w:val="clear" w:color="auto" w:fill="auto"/>
            <w:vAlign w:val="center"/>
          </w:tcPr>
          <w:p w14:paraId="4AC89167">
            <w:pPr>
              <w:keepNext w:val="0"/>
              <w:keepLines w:val="0"/>
              <w:widowControl w:val="0"/>
              <w:suppressLineNumbers w:val="0"/>
              <w:spacing w:before="0" w:beforeAutospacing="0" w:after="0" w:afterAutospacing="0" w:line="360" w:lineRule="auto"/>
              <w:ind w:left="0" w:right="0"/>
              <w:jc w:val="both"/>
              <w:rPr>
                <w:rFonts w:hint="eastAsia" w:ascii="宋体" w:hAnsi="宋体" w:eastAsia="Tahoma" w:cs="Tahoma"/>
                <w:kern w:val="2"/>
                <w:sz w:val="24"/>
                <w:szCs w:val="24"/>
              </w:rPr>
            </w:pPr>
            <w:r>
              <w:rPr>
                <w:rFonts w:hint="default" w:ascii="Tahoma" w:hAnsi="Tahoma" w:eastAsia="Tahoma" w:cs="Tahoma"/>
                <w:kern w:val="2"/>
                <w:sz w:val="24"/>
                <w:szCs w:val="24"/>
                <w:lang w:val="en-US" w:eastAsia="zh-CN" w:bidi="ar"/>
              </w:rPr>
              <w:t>按对应格式文件签署、盖章。</w:t>
            </w:r>
          </w:p>
        </w:tc>
      </w:tr>
      <w:tr w14:paraId="5C124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908" w:hRule="atLeast"/>
          <w:jc w:val="center"/>
        </w:trPr>
        <w:tc>
          <w:tcPr>
            <w:tcW w:w="513" w:type="pct"/>
            <w:tcBorders>
              <w:top w:val="single" w:color="auto" w:sz="4" w:space="0"/>
              <w:left w:val="single" w:color="auto" w:sz="4" w:space="0"/>
              <w:bottom w:val="single" w:color="auto" w:sz="4" w:space="0"/>
              <w:right w:val="single" w:color="auto" w:sz="4" w:space="0"/>
            </w:tcBorders>
            <w:shd w:val="clear" w:color="auto" w:fill="auto"/>
            <w:vAlign w:val="center"/>
          </w:tcPr>
          <w:p w14:paraId="195AE724">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kern w:val="2"/>
                <w:sz w:val="24"/>
                <w:szCs w:val="24"/>
              </w:rPr>
            </w:pPr>
            <w:r>
              <w:rPr>
                <w:rFonts w:hint="eastAsia" w:ascii="宋体" w:hAnsi="宋体" w:eastAsia="宋体" w:cs="宋体"/>
                <w:kern w:val="2"/>
                <w:sz w:val="24"/>
                <w:szCs w:val="24"/>
                <w:lang w:val="en-US" w:eastAsia="zh-CN" w:bidi="ar"/>
              </w:rPr>
              <w:t>4</w:t>
            </w:r>
          </w:p>
        </w:tc>
        <w:tc>
          <w:tcPr>
            <w:tcW w:w="1669" w:type="pct"/>
            <w:tcBorders>
              <w:top w:val="single" w:color="auto" w:sz="4" w:space="0"/>
              <w:left w:val="nil"/>
              <w:bottom w:val="single" w:color="auto" w:sz="4" w:space="0"/>
              <w:right w:val="single" w:color="auto" w:sz="4" w:space="0"/>
            </w:tcBorders>
            <w:shd w:val="clear" w:color="auto" w:fill="auto"/>
            <w:vAlign w:val="center"/>
          </w:tcPr>
          <w:p w14:paraId="3522C2D6">
            <w:pPr>
              <w:keepNext w:val="0"/>
              <w:keepLines w:val="0"/>
              <w:widowControl w:val="0"/>
              <w:suppressLineNumbers w:val="0"/>
              <w:spacing w:before="0" w:beforeAutospacing="0" w:after="0" w:afterAutospacing="0" w:line="360" w:lineRule="auto"/>
              <w:ind w:left="0" w:right="0"/>
              <w:jc w:val="left"/>
              <w:rPr>
                <w:rFonts w:hint="eastAsia" w:ascii="宋体" w:hAnsi="宋体" w:eastAsia="Tahoma" w:cs="宋体"/>
                <w:kern w:val="2"/>
                <w:sz w:val="24"/>
                <w:szCs w:val="24"/>
              </w:rPr>
            </w:pPr>
            <w:r>
              <w:rPr>
                <w:rFonts w:hint="default" w:ascii="Tahoma" w:hAnsi="Tahoma" w:eastAsia="Tahoma" w:cs="Tahoma"/>
                <w:kern w:val="2"/>
                <w:sz w:val="24"/>
                <w:szCs w:val="24"/>
                <w:lang w:val="en-US" w:eastAsia="zh-CN" w:bidi="ar"/>
              </w:rPr>
              <w:t>报价要求</w:t>
            </w:r>
          </w:p>
        </w:tc>
        <w:tc>
          <w:tcPr>
            <w:tcW w:w="2814" w:type="pct"/>
            <w:tcBorders>
              <w:top w:val="single" w:color="auto" w:sz="4" w:space="0"/>
              <w:left w:val="nil"/>
              <w:bottom w:val="single" w:color="auto" w:sz="4" w:space="0"/>
              <w:right w:val="single" w:color="auto" w:sz="4" w:space="0"/>
            </w:tcBorders>
            <w:shd w:val="clear" w:color="auto" w:fill="auto"/>
            <w:vAlign w:val="center"/>
          </w:tcPr>
          <w:p w14:paraId="5A576801">
            <w:pPr>
              <w:keepNext w:val="0"/>
              <w:keepLines w:val="0"/>
              <w:widowControl w:val="0"/>
              <w:suppressLineNumbers w:val="0"/>
              <w:spacing w:before="0" w:beforeAutospacing="0" w:after="0" w:afterAutospacing="0" w:line="360" w:lineRule="auto"/>
              <w:ind w:left="0" w:right="0"/>
              <w:jc w:val="both"/>
              <w:rPr>
                <w:rFonts w:hint="eastAsia" w:ascii="宋体" w:hAnsi="宋体" w:eastAsia="Tahoma" w:cs="Tahoma"/>
                <w:kern w:val="2"/>
                <w:sz w:val="24"/>
                <w:szCs w:val="24"/>
              </w:rPr>
            </w:pPr>
            <w:r>
              <w:rPr>
                <w:rFonts w:hint="default" w:ascii="Tahoma" w:hAnsi="Tahoma" w:eastAsia="Tahoma" w:cs="Tahoma"/>
                <w:kern w:val="2"/>
                <w:sz w:val="24"/>
                <w:szCs w:val="24"/>
                <w:lang w:val="en-US" w:eastAsia="zh-CN" w:bidi="ar"/>
              </w:rPr>
              <w:t>报价是固定价且是唯一的，总报价没有超出最高限价</w:t>
            </w:r>
          </w:p>
        </w:tc>
      </w:tr>
      <w:tr w14:paraId="1A328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699" w:hRule="atLeast"/>
          <w:jc w:val="center"/>
        </w:trPr>
        <w:tc>
          <w:tcPr>
            <w:tcW w:w="513" w:type="pct"/>
            <w:tcBorders>
              <w:top w:val="single" w:color="auto" w:sz="4" w:space="0"/>
              <w:left w:val="single" w:color="auto" w:sz="4" w:space="0"/>
              <w:bottom w:val="single" w:color="auto" w:sz="4" w:space="0"/>
              <w:right w:val="single" w:color="auto" w:sz="4" w:space="0"/>
            </w:tcBorders>
            <w:shd w:val="clear" w:color="auto" w:fill="auto"/>
            <w:vAlign w:val="center"/>
          </w:tcPr>
          <w:p w14:paraId="0C5F16A9">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kern w:val="2"/>
                <w:sz w:val="24"/>
                <w:szCs w:val="24"/>
              </w:rPr>
            </w:pPr>
            <w:r>
              <w:rPr>
                <w:rFonts w:hint="eastAsia" w:ascii="宋体" w:hAnsi="宋体" w:eastAsia="宋体" w:cs="宋体"/>
                <w:kern w:val="2"/>
                <w:sz w:val="24"/>
                <w:szCs w:val="24"/>
                <w:lang w:val="en-US" w:eastAsia="zh-CN" w:bidi="ar"/>
              </w:rPr>
              <w:t>5</w:t>
            </w:r>
          </w:p>
        </w:tc>
        <w:tc>
          <w:tcPr>
            <w:tcW w:w="1669" w:type="pct"/>
            <w:tcBorders>
              <w:top w:val="single" w:color="auto" w:sz="4" w:space="0"/>
              <w:left w:val="nil"/>
              <w:bottom w:val="single" w:color="auto" w:sz="4" w:space="0"/>
              <w:right w:val="single" w:color="auto" w:sz="4" w:space="0"/>
            </w:tcBorders>
            <w:shd w:val="clear" w:color="auto" w:fill="auto"/>
            <w:vAlign w:val="center"/>
          </w:tcPr>
          <w:p w14:paraId="1B60E785">
            <w:pPr>
              <w:keepNext w:val="0"/>
              <w:keepLines w:val="0"/>
              <w:widowControl w:val="0"/>
              <w:suppressLineNumbers w:val="0"/>
              <w:spacing w:before="0" w:beforeAutospacing="0" w:after="0" w:afterAutospacing="0" w:line="360" w:lineRule="auto"/>
              <w:ind w:left="0" w:right="0"/>
              <w:jc w:val="left"/>
              <w:rPr>
                <w:rFonts w:hint="eastAsia" w:ascii="宋体" w:hAnsi="宋体" w:eastAsia="Tahoma" w:cs="宋体"/>
                <w:kern w:val="2"/>
                <w:sz w:val="24"/>
                <w:szCs w:val="24"/>
              </w:rPr>
            </w:pPr>
            <w:r>
              <w:rPr>
                <w:rFonts w:hint="default" w:ascii="Tahoma" w:hAnsi="Tahoma" w:eastAsia="Tahoma" w:cs="Tahoma"/>
                <w:kern w:val="2"/>
                <w:sz w:val="24"/>
                <w:szCs w:val="24"/>
                <w:lang w:val="en-US" w:eastAsia="zh-CN" w:bidi="ar"/>
              </w:rPr>
              <w:t>投标文件的完整性</w:t>
            </w:r>
          </w:p>
        </w:tc>
        <w:tc>
          <w:tcPr>
            <w:tcW w:w="2814" w:type="pct"/>
            <w:tcBorders>
              <w:top w:val="single" w:color="auto" w:sz="4" w:space="0"/>
              <w:left w:val="nil"/>
              <w:bottom w:val="single" w:color="auto" w:sz="4" w:space="0"/>
              <w:right w:val="single" w:color="auto" w:sz="4" w:space="0"/>
            </w:tcBorders>
            <w:shd w:val="clear" w:color="auto" w:fill="auto"/>
            <w:vAlign w:val="center"/>
          </w:tcPr>
          <w:p w14:paraId="048B4DA8">
            <w:pPr>
              <w:keepNext w:val="0"/>
              <w:keepLines w:val="0"/>
              <w:widowControl w:val="0"/>
              <w:suppressLineNumbers w:val="0"/>
              <w:spacing w:before="0" w:beforeAutospacing="0" w:after="0" w:afterAutospacing="0" w:line="360" w:lineRule="auto"/>
              <w:ind w:left="0" w:right="0"/>
              <w:jc w:val="both"/>
              <w:rPr>
                <w:rFonts w:hint="eastAsia" w:ascii="宋体" w:hAnsi="宋体" w:eastAsia="Tahoma" w:cs="Tahoma"/>
                <w:kern w:val="2"/>
                <w:sz w:val="24"/>
                <w:szCs w:val="24"/>
              </w:rPr>
            </w:pPr>
            <w:r>
              <w:rPr>
                <w:rFonts w:hint="default" w:ascii="Tahoma" w:hAnsi="Tahoma" w:eastAsia="Tahoma" w:cs="Tahoma"/>
                <w:kern w:val="28"/>
                <w:sz w:val="24"/>
                <w:szCs w:val="24"/>
                <w:lang w:val="en-US" w:eastAsia="zh-CN" w:bidi="ar"/>
              </w:rPr>
              <w:t>投标文件完整且编排有序，响应内容基本完整，无重大错漏。</w:t>
            </w:r>
          </w:p>
        </w:tc>
      </w:tr>
      <w:tr w14:paraId="7FC04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699" w:hRule="atLeast"/>
          <w:jc w:val="center"/>
        </w:trPr>
        <w:tc>
          <w:tcPr>
            <w:tcW w:w="513" w:type="pct"/>
            <w:tcBorders>
              <w:top w:val="single" w:color="auto" w:sz="4" w:space="0"/>
              <w:left w:val="single" w:color="auto" w:sz="4" w:space="0"/>
              <w:bottom w:val="single" w:color="auto" w:sz="4" w:space="0"/>
              <w:right w:val="single" w:color="auto" w:sz="4" w:space="0"/>
            </w:tcBorders>
            <w:shd w:val="clear" w:color="auto" w:fill="auto"/>
            <w:vAlign w:val="center"/>
          </w:tcPr>
          <w:p w14:paraId="093F51CD">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kern w:val="2"/>
                <w:sz w:val="24"/>
                <w:szCs w:val="24"/>
              </w:rPr>
            </w:pPr>
            <w:r>
              <w:rPr>
                <w:rFonts w:hint="eastAsia" w:ascii="宋体" w:hAnsi="宋体" w:eastAsia="宋体" w:cs="宋体"/>
                <w:kern w:val="2"/>
                <w:sz w:val="24"/>
                <w:szCs w:val="24"/>
                <w:lang w:val="en-US" w:eastAsia="zh-CN" w:bidi="ar"/>
              </w:rPr>
              <w:t>6</w:t>
            </w:r>
          </w:p>
        </w:tc>
        <w:tc>
          <w:tcPr>
            <w:tcW w:w="1669" w:type="pct"/>
            <w:tcBorders>
              <w:top w:val="single" w:color="auto" w:sz="4" w:space="0"/>
              <w:left w:val="nil"/>
              <w:bottom w:val="single" w:color="auto" w:sz="4" w:space="0"/>
              <w:right w:val="single" w:color="auto" w:sz="4" w:space="0"/>
            </w:tcBorders>
            <w:shd w:val="clear" w:color="auto" w:fill="auto"/>
            <w:vAlign w:val="center"/>
          </w:tcPr>
          <w:p w14:paraId="642CC90F">
            <w:pPr>
              <w:keepNext w:val="0"/>
              <w:keepLines w:val="0"/>
              <w:widowControl w:val="0"/>
              <w:suppressLineNumbers w:val="0"/>
              <w:spacing w:before="0" w:beforeAutospacing="0" w:after="0" w:afterAutospacing="0" w:line="360" w:lineRule="auto"/>
              <w:ind w:left="0" w:right="0"/>
              <w:jc w:val="left"/>
              <w:rPr>
                <w:rFonts w:hint="eastAsia" w:ascii="宋体" w:hAnsi="宋体" w:eastAsia="Tahoma" w:cs="宋体"/>
                <w:kern w:val="2"/>
                <w:sz w:val="24"/>
                <w:szCs w:val="24"/>
              </w:rPr>
            </w:pPr>
            <w:r>
              <w:rPr>
                <w:rFonts w:hint="default" w:ascii="Tahoma" w:hAnsi="Tahoma" w:eastAsia="Tahoma" w:cs="Tahoma"/>
                <w:kern w:val="2"/>
                <w:sz w:val="24"/>
                <w:szCs w:val="24"/>
                <w:lang w:val="en-US" w:eastAsia="zh-CN" w:bidi="ar"/>
              </w:rPr>
              <w:t>投标有效期</w:t>
            </w:r>
          </w:p>
        </w:tc>
        <w:tc>
          <w:tcPr>
            <w:tcW w:w="2814" w:type="pct"/>
            <w:tcBorders>
              <w:top w:val="single" w:color="auto" w:sz="4" w:space="0"/>
              <w:left w:val="nil"/>
              <w:bottom w:val="single" w:color="auto" w:sz="4" w:space="0"/>
              <w:right w:val="single" w:color="auto" w:sz="4" w:space="0"/>
            </w:tcBorders>
            <w:shd w:val="clear" w:color="auto" w:fill="auto"/>
            <w:vAlign w:val="center"/>
          </w:tcPr>
          <w:p w14:paraId="235ED6CF">
            <w:pPr>
              <w:keepNext w:val="0"/>
              <w:keepLines w:val="0"/>
              <w:widowControl w:val="0"/>
              <w:suppressLineNumbers w:val="0"/>
              <w:spacing w:before="0" w:beforeAutospacing="0" w:after="0" w:afterAutospacing="0" w:line="360" w:lineRule="auto"/>
              <w:ind w:left="0" w:right="0"/>
              <w:jc w:val="both"/>
              <w:rPr>
                <w:rFonts w:hint="eastAsia" w:ascii="宋体" w:hAnsi="宋体" w:eastAsia="Tahoma" w:cs="Tahoma"/>
                <w:kern w:val="2"/>
                <w:sz w:val="24"/>
                <w:szCs w:val="24"/>
              </w:rPr>
            </w:pPr>
            <w:r>
              <w:rPr>
                <w:rFonts w:hint="default" w:ascii="Tahoma" w:hAnsi="Tahoma" w:eastAsia="Tahoma" w:cs="Tahoma"/>
                <w:kern w:val="2"/>
                <w:sz w:val="24"/>
                <w:szCs w:val="24"/>
                <w:lang w:val="en-US" w:eastAsia="zh-CN" w:bidi="ar"/>
              </w:rPr>
              <w:t>提交投标文件的截止之日起</w:t>
            </w:r>
            <w:r>
              <w:rPr>
                <w:rFonts w:hint="eastAsia" w:ascii="宋体" w:hAnsi="宋体" w:eastAsia="宋体" w:cs="宋体"/>
                <w:kern w:val="2"/>
                <w:sz w:val="24"/>
                <w:szCs w:val="24"/>
                <w:lang w:val="en-US" w:eastAsia="zh-CN" w:bidi="ar"/>
              </w:rPr>
              <w:t>90</w:t>
            </w:r>
            <w:r>
              <w:rPr>
                <w:rFonts w:hint="default" w:ascii="Tahoma" w:hAnsi="Tahoma" w:eastAsia="Tahoma" w:cs="Tahoma"/>
                <w:kern w:val="2"/>
                <w:sz w:val="24"/>
                <w:szCs w:val="24"/>
                <w:lang w:val="en-US" w:eastAsia="zh-CN" w:bidi="ar"/>
              </w:rPr>
              <w:t>日历天。</w:t>
            </w:r>
          </w:p>
        </w:tc>
      </w:tr>
      <w:tr w14:paraId="633C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699" w:hRule="atLeast"/>
          <w:jc w:val="center"/>
        </w:trPr>
        <w:tc>
          <w:tcPr>
            <w:tcW w:w="513" w:type="pct"/>
            <w:tcBorders>
              <w:top w:val="single" w:color="auto" w:sz="4" w:space="0"/>
              <w:left w:val="single" w:color="auto" w:sz="4" w:space="0"/>
              <w:bottom w:val="single" w:color="auto" w:sz="4" w:space="0"/>
              <w:right w:val="single" w:color="auto" w:sz="4" w:space="0"/>
            </w:tcBorders>
            <w:shd w:val="clear" w:color="auto" w:fill="auto"/>
            <w:vAlign w:val="center"/>
          </w:tcPr>
          <w:p w14:paraId="3CB22B5E">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kern w:val="2"/>
                <w:sz w:val="24"/>
                <w:szCs w:val="24"/>
              </w:rPr>
            </w:pPr>
            <w:r>
              <w:rPr>
                <w:rFonts w:hint="eastAsia" w:ascii="宋体" w:hAnsi="宋体" w:eastAsia="宋体" w:cs="宋体"/>
                <w:kern w:val="2"/>
                <w:sz w:val="24"/>
                <w:szCs w:val="24"/>
                <w:lang w:val="en-US" w:eastAsia="zh-CN" w:bidi="ar"/>
              </w:rPr>
              <w:t>7</w:t>
            </w:r>
          </w:p>
        </w:tc>
        <w:tc>
          <w:tcPr>
            <w:tcW w:w="1669" w:type="pct"/>
            <w:tcBorders>
              <w:top w:val="single" w:color="auto" w:sz="4" w:space="0"/>
              <w:left w:val="nil"/>
              <w:bottom w:val="single" w:color="auto" w:sz="4" w:space="0"/>
              <w:right w:val="single" w:color="auto" w:sz="4" w:space="0"/>
            </w:tcBorders>
            <w:shd w:val="clear" w:color="auto" w:fill="auto"/>
            <w:vAlign w:val="center"/>
          </w:tcPr>
          <w:p w14:paraId="1C2C7AA1">
            <w:pPr>
              <w:keepNext w:val="0"/>
              <w:keepLines w:val="0"/>
              <w:widowControl w:val="0"/>
              <w:suppressLineNumbers w:val="0"/>
              <w:spacing w:before="0" w:beforeAutospacing="0" w:after="0" w:afterAutospacing="0" w:line="360" w:lineRule="auto"/>
              <w:ind w:left="0" w:right="0"/>
              <w:jc w:val="left"/>
              <w:rPr>
                <w:rFonts w:hint="eastAsia" w:ascii="宋体" w:hAnsi="宋体" w:eastAsia="Tahoma" w:cs="宋体"/>
                <w:kern w:val="2"/>
                <w:sz w:val="24"/>
                <w:szCs w:val="24"/>
              </w:rPr>
            </w:pPr>
            <w:r>
              <w:rPr>
                <w:rFonts w:hint="default" w:ascii="Tahoma" w:hAnsi="Tahoma" w:eastAsia="Tahoma" w:cs="Tahoma"/>
                <w:kern w:val="2"/>
                <w:sz w:val="24"/>
                <w:szCs w:val="24"/>
                <w:lang w:val="en-US" w:eastAsia="zh-CN" w:bidi="ar"/>
              </w:rPr>
              <w:t>服务期限</w:t>
            </w:r>
          </w:p>
        </w:tc>
        <w:tc>
          <w:tcPr>
            <w:tcW w:w="2814" w:type="pct"/>
            <w:tcBorders>
              <w:top w:val="single" w:color="auto" w:sz="4" w:space="0"/>
              <w:left w:val="nil"/>
              <w:bottom w:val="single" w:color="auto" w:sz="4" w:space="0"/>
              <w:right w:val="single" w:color="auto" w:sz="4" w:space="0"/>
            </w:tcBorders>
            <w:shd w:val="clear" w:color="auto" w:fill="auto"/>
            <w:vAlign w:val="center"/>
          </w:tcPr>
          <w:p w14:paraId="01A33A65">
            <w:pPr>
              <w:keepNext w:val="0"/>
              <w:keepLines w:val="0"/>
              <w:widowControl w:val="0"/>
              <w:suppressLineNumbers w:val="0"/>
              <w:spacing w:before="0" w:beforeAutospacing="0" w:after="0" w:afterAutospacing="0" w:line="360" w:lineRule="auto"/>
              <w:ind w:left="0" w:right="0"/>
              <w:jc w:val="both"/>
              <w:rPr>
                <w:rFonts w:hint="eastAsia" w:ascii="宋体" w:hAnsi="宋体" w:eastAsia="Tahoma" w:cs="Tahoma"/>
                <w:kern w:val="2"/>
                <w:sz w:val="24"/>
                <w:szCs w:val="24"/>
              </w:rPr>
            </w:pPr>
            <w:r>
              <w:rPr>
                <w:rFonts w:hint="default" w:ascii="Tahoma" w:hAnsi="Tahoma" w:eastAsia="Tahoma" w:cs="Tahoma"/>
                <w:kern w:val="2"/>
                <w:sz w:val="24"/>
                <w:szCs w:val="24"/>
                <w:lang w:val="en-US" w:eastAsia="zh-CN" w:bidi="ar"/>
              </w:rPr>
              <w:t>满足招标文件要求。</w:t>
            </w:r>
          </w:p>
        </w:tc>
      </w:tr>
      <w:tr w14:paraId="200EF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690" w:hRule="atLeast"/>
          <w:jc w:val="center"/>
        </w:trPr>
        <w:tc>
          <w:tcPr>
            <w:tcW w:w="513" w:type="pct"/>
            <w:tcBorders>
              <w:top w:val="single" w:color="auto" w:sz="4" w:space="0"/>
              <w:left w:val="single" w:color="auto" w:sz="4" w:space="0"/>
              <w:bottom w:val="single" w:color="auto" w:sz="4" w:space="0"/>
              <w:right w:val="single" w:color="auto" w:sz="4" w:space="0"/>
            </w:tcBorders>
            <w:shd w:val="clear" w:color="auto" w:fill="auto"/>
            <w:vAlign w:val="center"/>
          </w:tcPr>
          <w:p w14:paraId="31567DA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8</w:t>
            </w:r>
          </w:p>
        </w:tc>
        <w:tc>
          <w:tcPr>
            <w:tcW w:w="1669" w:type="pct"/>
            <w:tcBorders>
              <w:top w:val="single" w:color="auto" w:sz="4" w:space="0"/>
              <w:left w:val="nil"/>
              <w:bottom w:val="single" w:color="auto" w:sz="4" w:space="0"/>
              <w:right w:val="single" w:color="auto" w:sz="4" w:space="0"/>
            </w:tcBorders>
            <w:shd w:val="clear" w:color="auto" w:fill="auto"/>
            <w:vAlign w:val="center"/>
          </w:tcPr>
          <w:p w14:paraId="5B98E8D1">
            <w:pPr>
              <w:keepNext w:val="0"/>
              <w:keepLines w:val="0"/>
              <w:widowControl w:val="0"/>
              <w:suppressLineNumbers w:val="0"/>
              <w:spacing w:before="0" w:beforeAutospacing="0" w:after="0" w:afterAutospacing="0" w:line="360" w:lineRule="auto"/>
              <w:ind w:left="0" w:right="0"/>
              <w:jc w:val="left"/>
              <w:rPr>
                <w:rFonts w:hint="eastAsia" w:ascii="宋体" w:hAnsi="宋体" w:eastAsia="Tahoma" w:cs="宋体"/>
                <w:kern w:val="2"/>
                <w:sz w:val="24"/>
                <w:szCs w:val="24"/>
              </w:rPr>
            </w:pPr>
            <w:r>
              <w:rPr>
                <w:rFonts w:hint="default" w:ascii="Tahoma" w:hAnsi="Tahoma" w:eastAsia="Tahoma" w:cs="Tahoma"/>
                <w:kern w:val="2"/>
                <w:sz w:val="24"/>
                <w:szCs w:val="24"/>
                <w:lang w:val="en-US" w:eastAsia="zh-CN" w:bidi="ar"/>
              </w:rPr>
              <w:t>其他</w:t>
            </w:r>
          </w:p>
        </w:tc>
        <w:tc>
          <w:tcPr>
            <w:tcW w:w="2814" w:type="pct"/>
            <w:tcBorders>
              <w:top w:val="single" w:color="auto" w:sz="4" w:space="0"/>
              <w:left w:val="nil"/>
              <w:bottom w:val="single" w:color="auto" w:sz="4" w:space="0"/>
              <w:right w:val="single" w:color="auto" w:sz="4" w:space="0"/>
            </w:tcBorders>
            <w:shd w:val="clear" w:color="auto" w:fill="auto"/>
            <w:vAlign w:val="center"/>
          </w:tcPr>
          <w:p w14:paraId="48F74EA0">
            <w:pPr>
              <w:keepNext w:val="0"/>
              <w:keepLines w:val="0"/>
              <w:widowControl w:val="0"/>
              <w:suppressLineNumbers w:val="0"/>
              <w:spacing w:before="0" w:beforeAutospacing="0" w:after="0" w:afterAutospacing="0" w:line="360" w:lineRule="auto"/>
              <w:ind w:left="0" w:right="0"/>
              <w:jc w:val="both"/>
              <w:rPr>
                <w:rFonts w:hint="eastAsia" w:ascii="宋体" w:hAnsi="宋体" w:eastAsia="Tahoma" w:cs="Tahoma"/>
                <w:kern w:val="2"/>
                <w:sz w:val="24"/>
                <w:szCs w:val="24"/>
              </w:rPr>
            </w:pPr>
            <w:r>
              <w:rPr>
                <w:rFonts w:hint="default" w:ascii="Tahoma" w:hAnsi="Tahoma" w:eastAsia="Tahoma" w:cs="Tahoma"/>
                <w:kern w:val="2"/>
                <w:sz w:val="24"/>
                <w:szCs w:val="24"/>
                <w:lang w:val="en-US" w:eastAsia="zh-CN" w:bidi="ar"/>
              </w:rPr>
              <w:t>法律、法规和招标文件规定的其他无效情形。</w:t>
            </w:r>
          </w:p>
        </w:tc>
      </w:tr>
      <w:tr w14:paraId="1179E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676" w:hRule="atLeast"/>
          <w:jc w:val="center"/>
        </w:trPr>
        <w:tc>
          <w:tcPr>
            <w:tcW w:w="513" w:type="pct"/>
            <w:tcBorders>
              <w:top w:val="single" w:color="auto" w:sz="4" w:space="0"/>
              <w:left w:val="single" w:color="auto" w:sz="4" w:space="0"/>
              <w:bottom w:val="single" w:color="auto" w:sz="4" w:space="0"/>
              <w:right w:val="single" w:color="auto" w:sz="4" w:space="0"/>
            </w:tcBorders>
            <w:shd w:val="clear" w:color="auto" w:fill="auto"/>
            <w:vAlign w:val="center"/>
          </w:tcPr>
          <w:p w14:paraId="083E27B7">
            <w:pPr>
              <w:keepNext w:val="0"/>
              <w:keepLines w:val="0"/>
              <w:widowControl w:val="0"/>
              <w:suppressLineNumbers w:val="0"/>
              <w:spacing w:before="0" w:beforeAutospacing="0" w:after="0" w:afterAutospacing="0" w:line="360" w:lineRule="auto"/>
              <w:ind w:left="0" w:right="0"/>
              <w:jc w:val="center"/>
              <w:rPr>
                <w:rFonts w:hint="eastAsia" w:ascii="宋体" w:hAnsi="宋体" w:eastAsia="Tahoma" w:cs="Tahoma"/>
                <w:b/>
                <w:bCs w:val="0"/>
                <w:kern w:val="2"/>
                <w:sz w:val="24"/>
                <w:szCs w:val="24"/>
              </w:rPr>
            </w:pPr>
            <w:r>
              <w:rPr>
                <w:rFonts w:hint="default" w:ascii="Tahoma" w:hAnsi="Tahoma" w:eastAsia="Tahoma" w:cs="Tahoma"/>
                <w:b/>
                <w:bCs w:val="0"/>
                <w:kern w:val="2"/>
                <w:sz w:val="24"/>
                <w:szCs w:val="24"/>
                <w:lang w:val="en-US" w:eastAsia="zh-CN" w:bidi="ar"/>
              </w:rPr>
              <w:t>结</w:t>
            </w:r>
            <w:r>
              <w:rPr>
                <w:rFonts w:hint="eastAsia" w:ascii="宋体" w:hAnsi="宋体" w:eastAsia="Tahoma" w:cs="Tahoma"/>
                <w:b/>
                <w:bCs w:val="0"/>
                <w:kern w:val="2"/>
                <w:sz w:val="24"/>
                <w:szCs w:val="24"/>
                <w:lang w:val="en-US" w:eastAsia="zh-CN" w:bidi="ar"/>
              </w:rPr>
              <w:t xml:space="preserve"> </w:t>
            </w:r>
            <w:r>
              <w:rPr>
                <w:rFonts w:hint="default" w:ascii="Tahoma" w:hAnsi="Tahoma" w:eastAsia="Tahoma" w:cs="Tahoma"/>
                <w:b/>
                <w:bCs w:val="0"/>
                <w:kern w:val="2"/>
                <w:sz w:val="24"/>
                <w:szCs w:val="24"/>
                <w:lang w:val="en-US" w:eastAsia="zh-CN" w:bidi="ar"/>
              </w:rPr>
              <w:t>论</w:t>
            </w:r>
          </w:p>
        </w:tc>
        <w:tc>
          <w:tcPr>
            <w:tcW w:w="4485" w:type="pct"/>
            <w:gridSpan w:val="2"/>
            <w:tcBorders>
              <w:top w:val="single" w:color="auto" w:sz="4" w:space="0"/>
              <w:left w:val="nil"/>
              <w:bottom w:val="single" w:color="auto" w:sz="4" w:space="0"/>
              <w:right w:val="single" w:color="auto" w:sz="4" w:space="0"/>
            </w:tcBorders>
            <w:shd w:val="clear" w:color="auto" w:fill="auto"/>
            <w:vAlign w:val="top"/>
          </w:tcPr>
          <w:p w14:paraId="51BD572D">
            <w:pPr>
              <w:keepNext w:val="0"/>
              <w:keepLines w:val="0"/>
              <w:widowControl w:val="0"/>
              <w:suppressLineNumbers w:val="0"/>
              <w:spacing w:before="0" w:beforeAutospacing="0" w:after="0" w:afterAutospacing="0" w:line="360" w:lineRule="auto"/>
              <w:ind w:left="0" w:right="0"/>
              <w:jc w:val="both"/>
              <w:rPr>
                <w:rFonts w:hint="eastAsia" w:ascii="宋体" w:hAnsi="宋体" w:eastAsia="Tahoma" w:cs="Tahoma"/>
                <w:kern w:val="2"/>
                <w:sz w:val="24"/>
                <w:szCs w:val="24"/>
              </w:rPr>
            </w:pPr>
          </w:p>
        </w:tc>
      </w:tr>
    </w:tbl>
    <w:p w14:paraId="4EF9FC80">
      <w:pPr>
        <w:keepNext w:val="0"/>
        <w:keepLines w:val="0"/>
        <w:widowControl/>
        <w:suppressLineNumbers w:val="0"/>
        <w:spacing w:before="0" w:beforeAutospacing="0" w:after="0" w:afterAutospacing="0" w:line="360" w:lineRule="auto"/>
        <w:ind w:left="708" w:right="0" w:hanging="708"/>
        <w:jc w:val="both"/>
        <w:rPr>
          <w:rFonts w:hint="eastAsia" w:ascii="宋体" w:hAnsi="宋体" w:eastAsia="Tahoma" w:cs="Tahoma"/>
          <w:kern w:val="0"/>
          <w:sz w:val="24"/>
          <w:szCs w:val="24"/>
        </w:rPr>
      </w:pPr>
      <w:r>
        <w:rPr>
          <w:rFonts w:hint="default" w:ascii="Tahoma" w:hAnsi="Tahoma" w:eastAsia="Tahoma" w:cs="Tahoma"/>
          <w:kern w:val="0"/>
          <w:sz w:val="24"/>
          <w:szCs w:val="24"/>
          <w:lang w:val="en-US" w:eastAsia="zh-CN" w:bidi="ar"/>
        </w:rPr>
        <w:t>注：</w:t>
      </w:r>
    </w:p>
    <w:p w14:paraId="464F376B">
      <w:pPr>
        <w:keepNext w:val="0"/>
        <w:keepLines w:val="0"/>
        <w:widowControl/>
        <w:suppressLineNumbers w:val="0"/>
        <w:spacing w:before="0" w:beforeAutospacing="0" w:after="0" w:afterAutospacing="0" w:line="360" w:lineRule="auto"/>
        <w:ind w:left="0" w:right="0"/>
        <w:jc w:val="both"/>
        <w:outlineLvl w:val="2"/>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 xml:space="preserve">1. </w:t>
      </w:r>
      <w:r>
        <w:rPr>
          <w:rFonts w:hint="default" w:ascii="Tahoma" w:hAnsi="Tahoma" w:eastAsia="Tahoma" w:cs="Tahoma"/>
          <w:kern w:val="0"/>
          <w:sz w:val="24"/>
          <w:szCs w:val="24"/>
          <w:lang w:val="en-US" w:eastAsia="zh-CN" w:bidi="ar"/>
        </w:rPr>
        <w:t>每一项符合的打</w:t>
      </w:r>
      <w:r>
        <w:rPr>
          <w:rFonts w:hint="eastAsia" w:ascii="宋体" w:hAnsi="宋体" w:eastAsia="宋体" w:cs="宋体"/>
          <w:kern w:val="0"/>
          <w:sz w:val="24"/>
          <w:szCs w:val="24"/>
          <w:lang w:val="en-US" w:eastAsia="zh-CN" w:bidi="ar"/>
        </w:rPr>
        <w:t>“</w:t>
      </w:r>
      <w:r>
        <w:rPr>
          <w:rFonts w:hint="default" w:ascii="Arial" w:hAnsi="Arial" w:eastAsia="Tahoma" w:cs="Arial"/>
          <w:kern w:val="0"/>
          <w:sz w:val="24"/>
          <w:szCs w:val="24"/>
          <w:lang w:val="en-US" w:eastAsia="zh-CN" w:bidi="ar"/>
        </w:rPr>
        <w:t>√</w:t>
      </w:r>
      <w:r>
        <w:rPr>
          <w:rFonts w:hint="eastAsia" w:ascii="宋体" w:hAnsi="宋体" w:eastAsia="宋体" w:cs="宋体"/>
          <w:kern w:val="0"/>
          <w:sz w:val="24"/>
          <w:szCs w:val="24"/>
          <w:lang w:val="en-US" w:eastAsia="zh-CN" w:bidi="ar"/>
        </w:rPr>
        <w:t>”</w:t>
      </w:r>
      <w:r>
        <w:rPr>
          <w:rFonts w:hint="default" w:ascii="Tahoma" w:hAnsi="Tahoma" w:eastAsia="Tahoma" w:cs="Tahoma"/>
          <w:kern w:val="0"/>
          <w:sz w:val="24"/>
          <w:szCs w:val="24"/>
          <w:lang w:val="en-US" w:eastAsia="zh-CN" w:bidi="ar"/>
        </w:rPr>
        <w:t>，不符合的打</w:t>
      </w:r>
      <w:r>
        <w:rPr>
          <w:rFonts w:hint="eastAsia" w:ascii="宋体" w:hAnsi="宋体" w:eastAsia="宋体" w:cs="宋体"/>
          <w:kern w:val="0"/>
          <w:sz w:val="24"/>
          <w:szCs w:val="24"/>
          <w:lang w:val="en-US" w:eastAsia="zh-CN" w:bidi="ar"/>
        </w:rPr>
        <w:t>“×”</w:t>
      </w:r>
      <w:r>
        <w:rPr>
          <w:rFonts w:hint="default" w:ascii="Tahoma" w:hAnsi="Tahoma" w:eastAsia="Tahoma" w:cs="Tahoma"/>
          <w:kern w:val="0"/>
          <w:sz w:val="24"/>
          <w:szCs w:val="24"/>
          <w:lang w:val="en-US" w:eastAsia="zh-CN" w:bidi="ar"/>
        </w:rPr>
        <w:t>。</w:t>
      </w:r>
    </w:p>
    <w:p w14:paraId="0DE14A1B">
      <w:pPr>
        <w:keepNext w:val="0"/>
        <w:keepLines w:val="0"/>
        <w:widowControl/>
        <w:suppressLineNumbers w:val="0"/>
        <w:spacing w:before="0" w:beforeAutospacing="0" w:after="0" w:afterAutospacing="0" w:line="360" w:lineRule="auto"/>
        <w:ind w:left="360" w:right="0" w:hanging="360" w:hangingChars="150"/>
        <w:jc w:val="both"/>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2.</w:t>
      </w:r>
      <w:r>
        <w:rPr>
          <w:rFonts w:hint="default" w:ascii="Tahoma" w:hAnsi="Tahoma" w:eastAsia="Tahoma" w:cs="Tahoma"/>
          <w:kern w:val="0"/>
          <w:sz w:val="24"/>
          <w:szCs w:val="24"/>
          <w:lang w:val="en-US" w:eastAsia="zh-CN" w:bidi="ar"/>
        </w:rPr>
        <w:t>“结论</w:t>
      </w:r>
      <w:r>
        <w:rPr>
          <w:rFonts w:hint="eastAsia" w:ascii="宋体" w:hAnsi="宋体" w:eastAsia="宋体" w:cs="宋体"/>
          <w:kern w:val="0"/>
          <w:sz w:val="24"/>
          <w:szCs w:val="24"/>
          <w:lang w:val="en-US" w:eastAsia="zh-CN" w:bidi="ar"/>
        </w:rPr>
        <w:t>”</w:t>
      </w:r>
      <w:r>
        <w:rPr>
          <w:rFonts w:hint="default" w:ascii="Tahoma" w:hAnsi="Tahoma" w:eastAsia="Tahoma" w:cs="Tahoma"/>
          <w:kern w:val="0"/>
          <w:sz w:val="24"/>
          <w:szCs w:val="24"/>
          <w:lang w:val="en-US" w:eastAsia="zh-CN" w:bidi="ar"/>
        </w:rPr>
        <w:t>一栏填写</w:t>
      </w:r>
      <w:r>
        <w:rPr>
          <w:rFonts w:hint="eastAsia" w:ascii="宋体" w:hAnsi="宋体" w:eastAsia="宋体" w:cs="宋体"/>
          <w:kern w:val="0"/>
          <w:sz w:val="24"/>
          <w:szCs w:val="24"/>
          <w:lang w:val="en-US" w:eastAsia="zh-CN" w:bidi="ar"/>
        </w:rPr>
        <w:t>“</w:t>
      </w:r>
      <w:r>
        <w:rPr>
          <w:rFonts w:hint="default" w:ascii="Tahoma" w:hAnsi="Tahoma" w:eastAsia="Tahoma" w:cs="Tahoma"/>
          <w:kern w:val="0"/>
          <w:sz w:val="24"/>
          <w:szCs w:val="24"/>
          <w:lang w:val="en-US" w:eastAsia="zh-CN" w:bidi="ar"/>
        </w:rPr>
        <w:t>通过</w:t>
      </w:r>
      <w:r>
        <w:rPr>
          <w:rFonts w:hint="eastAsia" w:ascii="宋体" w:hAnsi="宋体" w:eastAsia="宋体" w:cs="宋体"/>
          <w:kern w:val="0"/>
          <w:sz w:val="24"/>
          <w:szCs w:val="24"/>
          <w:lang w:val="en-US" w:eastAsia="zh-CN" w:bidi="ar"/>
        </w:rPr>
        <w:t>”</w:t>
      </w:r>
      <w:r>
        <w:rPr>
          <w:rFonts w:hint="default" w:ascii="Tahoma" w:hAnsi="Tahoma" w:eastAsia="Tahoma" w:cs="Tahoma"/>
          <w:kern w:val="0"/>
          <w:sz w:val="24"/>
          <w:szCs w:val="24"/>
          <w:lang w:val="en-US" w:eastAsia="zh-CN" w:bidi="ar"/>
        </w:rPr>
        <w:t>或</w:t>
      </w:r>
      <w:r>
        <w:rPr>
          <w:rFonts w:hint="eastAsia" w:ascii="宋体" w:hAnsi="宋体" w:eastAsia="宋体" w:cs="宋体"/>
          <w:kern w:val="0"/>
          <w:sz w:val="24"/>
          <w:szCs w:val="24"/>
          <w:lang w:val="en-US" w:eastAsia="zh-CN" w:bidi="ar"/>
        </w:rPr>
        <w:t>“</w:t>
      </w:r>
      <w:r>
        <w:rPr>
          <w:rFonts w:hint="default" w:ascii="Tahoma" w:hAnsi="Tahoma" w:eastAsia="Tahoma" w:cs="Tahoma"/>
          <w:kern w:val="0"/>
          <w:sz w:val="24"/>
          <w:szCs w:val="24"/>
          <w:lang w:val="en-US" w:eastAsia="zh-CN" w:bidi="ar"/>
        </w:rPr>
        <w:t>不通过</w:t>
      </w:r>
      <w:r>
        <w:rPr>
          <w:rFonts w:hint="eastAsia" w:ascii="宋体" w:hAnsi="宋体" w:eastAsia="宋体" w:cs="宋体"/>
          <w:kern w:val="0"/>
          <w:sz w:val="24"/>
          <w:szCs w:val="24"/>
          <w:lang w:val="en-US" w:eastAsia="zh-CN" w:bidi="ar"/>
        </w:rPr>
        <w:t>”</w:t>
      </w:r>
      <w:r>
        <w:rPr>
          <w:rFonts w:hint="default" w:ascii="Tahoma" w:hAnsi="Tahoma" w:eastAsia="Tahoma" w:cs="Tahoma"/>
          <w:kern w:val="0"/>
          <w:sz w:val="24"/>
          <w:szCs w:val="24"/>
          <w:lang w:val="en-US" w:eastAsia="zh-CN" w:bidi="ar"/>
        </w:rPr>
        <w:t>；任何一项出现</w:t>
      </w:r>
      <w:r>
        <w:rPr>
          <w:rFonts w:hint="eastAsia" w:ascii="宋体" w:hAnsi="宋体" w:eastAsia="宋体" w:cs="宋体"/>
          <w:kern w:val="0"/>
          <w:sz w:val="24"/>
          <w:szCs w:val="24"/>
          <w:lang w:val="en-US" w:eastAsia="zh-CN" w:bidi="ar"/>
        </w:rPr>
        <w:t>“×”</w:t>
      </w:r>
      <w:r>
        <w:rPr>
          <w:rFonts w:hint="default" w:ascii="Tahoma" w:hAnsi="Tahoma" w:eastAsia="Tahoma" w:cs="Tahoma"/>
          <w:kern w:val="0"/>
          <w:sz w:val="24"/>
          <w:szCs w:val="24"/>
          <w:lang w:val="en-US" w:eastAsia="zh-CN" w:bidi="ar"/>
        </w:rPr>
        <w:t>的，结论为不通过；不通过的为无效报价。</w:t>
      </w:r>
    </w:p>
    <w:p w14:paraId="342F5009">
      <w:pPr>
        <w:keepNext w:val="0"/>
        <w:keepLines w:val="0"/>
        <w:widowControl/>
        <w:suppressLineNumbers w:val="0"/>
        <w:spacing w:before="0" w:beforeAutospacing="0" w:after="0" w:afterAutospacing="0" w:line="360" w:lineRule="auto"/>
        <w:ind w:left="0" w:right="0"/>
        <w:jc w:val="both"/>
        <w:outlineLvl w:val="2"/>
        <w:rPr>
          <w:rFonts w:hint="eastAsia" w:ascii="宋体" w:hAnsi="宋体" w:eastAsia="Tahoma" w:cs="Tahoma"/>
          <w:kern w:val="0"/>
          <w:sz w:val="24"/>
          <w:szCs w:val="24"/>
        </w:rPr>
      </w:pPr>
      <w:r>
        <w:rPr>
          <w:rFonts w:hint="eastAsia" w:ascii="宋体" w:hAnsi="宋体" w:eastAsia="宋体" w:cs="宋体"/>
          <w:kern w:val="0"/>
          <w:sz w:val="24"/>
          <w:szCs w:val="24"/>
          <w:lang w:val="en-US" w:eastAsia="zh-CN" w:bidi="ar"/>
        </w:rPr>
        <w:t xml:space="preserve">3. </w:t>
      </w:r>
      <w:r>
        <w:rPr>
          <w:rFonts w:hint="default" w:ascii="Tahoma" w:hAnsi="Tahoma" w:eastAsia="Tahoma" w:cs="Tahoma"/>
          <w:kern w:val="0"/>
          <w:sz w:val="24"/>
          <w:szCs w:val="24"/>
          <w:lang w:val="en-US" w:eastAsia="zh-CN" w:bidi="ar"/>
        </w:rPr>
        <w:t>汇总时出现不同意见的，评委会按简单多数原则表决决定。</w:t>
      </w:r>
    </w:p>
    <w:p w14:paraId="72F3EC3C">
      <w:pPr>
        <w:keepNext w:val="0"/>
        <w:keepLines w:val="0"/>
        <w:widowControl w:val="0"/>
        <w:suppressLineNumbers w:val="0"/>
        <w:spacing w:before="0" w:beforeAutospacing="0" w:after="0" w:afterAutospacing="0" w:line="400" w:lineRule="exact"/>
        <w:ind w:left="0" w:right="0"/>
        <w:jc w:val="both"/>
        <w:outlineLvl w:val="1"/>
        <w:rPr>
          <w:rFonts w:hint="eastAsia" w:ascii="宋体" w:hAnsi="宋体" w:eastAsia="宋体" w:cs="宋体"/>
          <w:b/>
          <w:bCs w:val="0"/>
          <w:kern w:val="2"/>
          <w:sz w:val="24"/>
          <w:szCs w:val="24"/>
        </w:rPr>
      </w:pPr>
      <w:r>
        <w:rPr>
          <w:rFonts w:hint="eastAsia" w:ascii="宋体" w:hAnsi="宋体" w:eastAsia="Tahoma" w:cs="宋体"/>
          <w:b/>
          <w:bCs w:val="0"/>
          <w:kern w:val="2"/>
          <w:sz w:val="24"/>
          <w:szCs w:val="24"/>
          <w:lang w:val="en-US" w:eastAsia="zh-CN" w:bidi="ar"/>
        </w:rPr>
        <w:br w:type="page"/>
      </w:r>
    </w:p>
    <w:p w14:paraId="2D4DDBA1">
      <w:pPr>
        <w:keepNext w:val="0"/>
        <w:keepLines w:val="0"/>
        <w:widowControl w:val="0"/>
        <w:suppressLineNumbers w:val="0"/>
        <w:spacing w:before="0" w:beforeAutospacing="0" w:after="0" w:afterAutospacing="0" w:line="400" w:lineRule="exact"/>
        <w:ind w:left="0" w:right="0"/>
        <w:jc w:val="center"/>
        <w:outlineLvl w:val="1"/>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附件三</w:t>
      </w:r>
      <w:r>
        <w:rPr>
          <w:rFonts w:hint="eastAsia" w:ascii="宋体" w:hAnsi="宋体" w:eastAsia="宋体" w:cs="宋体"/>
          <w:b/>
          <w:bCs/>
          <w:kern w:val="2"/>
          <w:sz w:val="24"/>
          <w:szCs w:val="24"/>
          <w:lang w:val="en-US" w:eastAsia="zh-CN" w:bidi="ar"/>
        </w:rPr>
        <w:t>广州美术学院综合档案室气体灭火消防系统建设项目（三次）</w:t>
      </w:r>
      <w:r>
        <w:rPr>
          <w:rFonts w:hint="eastAsia" w:ascii="宋体" w:hAnsi="宋体" w:eastAsia="宋体" w:cs="宋体"/>
          <w:b/>
          <w:bCs w:val="0"/>
          <w:kern w:val="2"/>
          <w:sz w:val="24"/>
          <w:szCs w:val="24"/>
          <w:lang w:val="en-US" w:eastAsia="zh-CN" w:bidi="ar"/>
        </w:rPr>
        <w:t>（校内2025-27）技术评分表</w:t>
      </w:r>
    </w:p>
    <w:p w14:paraId="0AC0D4AF">
      <w:pPr>
        <w:keepNext w:val="0"/>
        <w:keepLines w:val="0"/>
        <w:widowControl w:val="0"/>
        <w:suppressLineNumbers w:val="0"/>
        <w:spacing w:before="0" w:beforeAutospacing="0" w:after="0" w:afterAutospacing="0" w:line="400" w:lineRule="exact"/>
        <w:ind w:left="0" w:right="0" w:firstLine="5421" w:firstLineChars="2250"/>
        <w:jc w:val="both"/>
        <w:rPr>
          <w:rFonts w:hint="eastAsia" w:ascii="宋体" w:hAnsi="宋体" w:eastAsia="宋体" w:cs="宋体"/>
          <w:b/>
          <w:bCs w:val="0"/>
          <w:color w:val="000000"/>
          <w:kern w:val="2"/>
          <w:sz w:val="24"/>
          <w:szCs w:val="24"/>
          <w:u w:val="single"/>
        </w:rPr>
      </w:pPr>
      <w:r>
        <w:rPr>
          <w:rFonts w:hint="eastAsia" w:ascii="宋体" w:hAnsi="宋体" w:eastAsia="宋体" w:cs="宋体"/>
          <w:b/>
          <w:bCs w:val="0"/>
          <w:color w:val="000000"/>
          <w:kern w:val="2"/>
          <w:sz w:val="24"/>
          <w:szCs w:val="24"/>
          <w:lang w:val="en-US" w:eastAsia="zh-CN" w:bidi="ar"/>
        </w:rPr>
        <w:t>评委签名：</w:t>
      </w:r>
      <w:r>
        <w:rPr>
          <w:rFonts w:hint="eastAsia" w:ascii="宋体" w:hAnsi="宋体" w:eastAsia="宋体" w:cs="宋体"/>
          <w:b/>
          <w:bCs w:val="0"/>
          <w:color w:val="000000"/>
          <w:kern w:val="2"/>
          <w:sz w:val="24"/>
          <w:szCs w:val="24"/>
          <w:u w:val="single"/>
          <w:lang w:val="en-US" w:eastAsia="zh-CN" w:bidi="ar"/>
        </w:rPr>
        <w:t xml:space="preserve">           </w:t>
      </w:r>
    </w:p>
    <w:tbl>
      <w:tblPr>
        <w:tblStyle w:val="12"/>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76"/>
        <w:gridCol w:w="1580"/>
        <w:gridCol w:w="753"/>
        <w:gridCol w:w="5413"/>
      </w:tblGrid>
      <w:tr w14:paraId="2D3214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1" w:hRule="atLeast"/>
          <w:jc w:val="center"/>
        </w:trPr>
        <w:tc>
          <w:tcPr>
            <w:tcW w:w="455" w:type="pct"/>
            <w:tcBorders>
              <w:top w:val="single" w:color="auto" w:sz="12" w:space="0"/>
              <w:left w:val="single" w:color="auto" w:sz="12" w:space="0"/>
              <w:bottom w:val="single" w:color="auto" w:sz="6" w:space="0"/>
              <w:right w:val="single" w:color="auto" w:sz="6" w:space="0"/>
            </w:tcBorders>
            <w:noWrap w:val="0"/>
            <w:vAlign w:val="center"/>
          </w:tcPr>
          <w:p w14:paraId="43331CCD">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序号</w:t>
            </w:r>
          </w:p>
        </w:tc>
        <w:tc>
          <w:tcPr>
            <w:tcW w:w="927" w:type="pct"/>
            <w:tcBorders>
              <w:top w:val="single" w:color="auto" w:sz="12" w:space="0"/>
              <w:left w:val="single" w:color="auto" w:sz="6" w:space="0"/>
              <w:bottom w:val="single" w:color="auto" w:sz="6" w:space="0"/>
              <w:right w:val="single" w:color="auto" w:sz="6" w:space="0"/>
            </w:tcBorders>
            <w:noWrap w:val="0"/>
            <w:vAlign w:val="center"/>
          </w:tcPr>
          <w:p w14:paraId="0820E197">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评估项目</w:t>
            </w:r>
          </w:p>
        </w:tc>
        <w:tc>
          <w:tcPr>
            <w:tcW w:w="442" w:type="pct"/>
            <w:tcBorders>
              <w:top w:val="single" w:color="auto" w:sz="12" w:space="0"/>
              <w:left w:val="single" w:color="auto" w:sz="6" w:space="0"/>
              <w:bottom w:val="single" w:color="auto" w:sz="6" w:space="0"/>
              <w:right w:val="single" w:color="auto" w:sz="6" w:space="0"/>
            </w:tcBorders>
            <w:noWrap w:val="0"/>
            <w:vAlign w:val="center"/>
          </w:tcPr>
          <w:p w14:paraId="1CE2D8D8">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分值</w:t>
            </w:r>
          </w:p>
        </w:tc>
        <w:tc>
          <w:tcPr>
            <w:tcW w:w="3176" w:type="pct"/>
            <w:tcBorders>
              <w:top w:val="single" w:color="auto" w:sz="12" w:space="0"/>
              <w:left w:val="single" w:color="auto" w:sz="6" w:space="0"/>
              <w:bottom w:val="single" w:color="auto" w:sz="6" w:space="0"/>
              <w:right w:val="single" w:color="auto" w:sz="12" w:space="0"/>
            </w:tcBorders>
            <w:noWrap w:val="0"/>
            <w:vAlign w:val="center"/>
          </w:tcPr>
          <w:p w14:paraId="74C5A44C">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评估内容</w:t>
            </w:r>
          </w:p>
        </w:tc>
      </w:tr>
      <w:tr w14:paraId="468B2C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5" w:hRule="atLeast"/>
          <w:jc w:val="center"/>
        </w:trPr>
        <w:tc>
          <w:tcPr>
            <w:tcW w:w="455" w:type="pct"/>
            <w:tcBorders>
              <w:top w:val="single" w:color="auto" w:sz="6" w:space="0"/>
              <w:left w:val="single" w:color="auto" w:sz="12" w:space="0"/>
              <w:bottom w:val="single" w:color="auto" w:sz="6" w:space="0"/>
              <w:right w:val="single" w:color="auto" w:sz="6" w:space="0"/>
            </w:tcBorders>
            <w:noWrap w:val="0"/>
            <w:vAlign w:val="center"/>
          </w:tcPr>
          <w:p w14:paraId="60F3EEB7">
            <w:pPr>
              <w:keepNext w:val="0"/>
              <w:keepLines w:val="0"/>
              <w:numPr>
                <w:ilvl w:val="0"/>
                <w:numId w:val="3"/>
              </w:numPr>
              <w:suppressLineNumbers w:val="0"/>
              <w:spacing w:before="0" w:beforeAutospacing="0" w:after="0" w:afterAutospacing="0" w:line="360" w:lineRule="auto"/>
              <w:ind w:right="0"/>
              <w:jc w:val="center"/>
              <w:rPr>
                <w:rFonts w:hint="eastAsia" w:ascii="宋体" w:hAnsi="宋体"/>
                <w:bCs/>
                <w:szCs w:val="21"/>
              </w:rPr>
            </w:pPr>
          </w:p>
        </w:tc>
        <w:tc>
          <w:tcPr>
            <w:tcW w:w="927" w:type="pct"/>
            <w:tcBorders>
              <w:top w:val="single" w:color="auto" w:sz="6" w:space="0"/>
              <w:left w:val="single" w:color="auto" w:sz="6" w:space="0"/>
              <w:bottom w:val="single" w:color="auto" w:sz="6" w:space="0"/>
              <w:right w:val="single" w:color="auto" w:sz="6" w:space="0"/>
            </w:tcBorders>
            <w:noWrap w:val="0"/>
            <w:vAlign w:val="center"/>
          </w:tcPr>
          <w:p w14:paraId="54ED00D2">
            <w:pPr>
              <w:keepNext w:val="0"/>
              <w:keepLines w:val="0"/>
              <w:suppressLineNumbers w:val="0"/>
              <w:spacing w:before="0" w:beforeAutospacing="0" w:after="0" w:afterAutospacing="0" w:line="360" w:lineRule="auto"/>
              <w:ind w:left="0" w:right="0"/>
              <w:jc w:val="center"/>
              <w:rPr>
                <w:rFonts w:hint="eastAsia" w:ascii="宋体" w:hAnsi="宋体"/>
                <w:kern w:val="0"/>
                <w:szCs w:val="21"/>
              </w:rPr>
            </w:pPr>
            <w:r>
              <w:rPr>
                <w:rFonts w:hint="eastAsia" w:ascii="宋体" w:hAnsi="宋体"/>
                <w:kern w:val="0"/>
                <w:szCs w:val="21"/>
              </w:rPr>
              <w:t>整体技术方案</w:t>
            </w:r>
          </w:p>
        </w:tc>
        <w:tc>
          <w:tcPr>
            <w:tcW w:w="442" w:type="pct"/>
            <w:tcBorders>
              <w:top w:val="single" w:color="auto" w:sz="6" w:space="0"/>
              <w:left w:val="single" w:color="auto" w:sz="6" w:space="0"/>
              <w:bottom w:val="single" w:color="auto" w:sz="6" w:space="0"/>
              <w:right w:val="single" w:color="auto" w:sz="6" w:space="0"/>
            </w:tcBorders>
            <w:noWrap w:val="0"/>
            <w:vAlign w:val="center"/>
          </w:tcPr>
          <w:p w14:paraId="64BF5BD1">
            <w:pPr>
              <w:keepNext w:val="0"/>
              <w:keepLines w:val="0"/>
              <w:suppressLineNumbers w:val="0"/>
              <w:spacing w:before="0" w:beforeAutospacing="0" w:after="0" w:afterAutospacing="0" w:line="360" w:lineRule="auto"/>
              <w:ind w:left="0" w:right="0"/>
              <w:jc w:val="center"/>
              <w:rPr>
                <w:rFonts w:hint="eastAsia" w:ascii="宋体" w:hAnsi="宋体"/>
                <w:kern w:val="0"/>
                <w:szCs w:val="21"/>
              </w:rPr>
            </w:pPr>
            <w:r>
              <w:rPr>
                <w:rFonts w:hint="eastAsia" w:ascii="宋体" w:hAnsi="宋体"/>
                <w:kern w:val="0"/>
                <w:szCs w:val="21"/>
                <w:lang w:eastAsia="zh"/>
                <w:woUserID w:val="2"/>
              </w:rPr>
              <w:t>15</w:t>
            </w:r>
          </w:p>
        </w:tc>
        <w:tc>
          <w:tcPr>
            <w:tcW w:w="3176" w:type="pct"/>
            <w:tcBorders>
              <w:top w:val="single" w:color="auto" w:sz="6" w:space="0"/>
              <w:left w:val="single" w:color="auto" w:sz="6" w:space="0"/>
              <w:bottom w:val="single" w:color="auto" w:sz="6" w:space="0"/>
              <w:right w:val="single" w:color="auto" w:sz="12" w:space="0"/>
            </w:tcBorders>
            <w:noWrap w:val="0"/>
            <w:vAlign w:val="center"/>
          </w:tcPr>
          <w:p w14:paraId="2A60AB0F">
            <w:pPr>
              <w:keepNext w:val="0"/>
              <w:keepLines w:val="0"/>
              <w:widowControl/>
              <w:suppressLineNumbers w:val="0"/>
              <w:spacing w:before="0" w:beforeAutospacing="0" w:after="0" w:afterAutospacing="0" w:line="360" w:lineRule="auto"/>
              <w:ind w:left="0" w:right="0"/>
              <w:jc w:val="left"/>
              <w:rPr>
                <w:rFonts w:hint="eastAsia" w:ascii="宋体" w:hAnsi="宋体"/>
                <w:szCs w:val="21"/>
              </w:rPr>
            </w:pPr>
            <w:r>
              <w:rPr>
                <w:rFonts w:hint="eastAsia" w:ascii="宋体" w:hAnsi="宋体"/>
                <w:kern w:val="0"/>
                <w:szCs w:val="21"/>
              </w:rPr>
              <w:t>（1）对项目总体认识全面，设备的选型合理，项目重点难点、实施关键技术工艺把握准确，能够充分保障项目质量、工期和施工安全，得</w:t>
            </w:r>
            <w:r>
              <w:rPr>
                <w:rFonts w:hint="eastAsia" w:ascii="宋体" w:hAnsi="宋体"/>
                <w:kern w:val="0"/>
                <w:szCs w:val="21"/>
                <w:lang w:eastAsia="zh"/>
                <w:woUserID w:val="2"/>
              </w:rPr>
              <w:t>15</w:t>
            </w:r>
            <w:r>
              <w:rPr>
                <w:rFonts w:hint="eastAsia" w:ascii="宋体" w:hAnsi="宋体"/>
                <w:kern w:val="0"/>
                <w:szCs w:val="21"/>
              </w:rPr>
              <w:t>分；</w:t>
            </w:r>
          </w:p>
          <w:p w14:paraId="5BE57C83">
            <w:pPr>
              <w:keepNext w:val="0"/>
              <w:keepLines w:val="0"/>
              <w:widowControl/>
              <w:suppressLineNumbers w:val="0"/>
              <w:spacing w:before="0" w:beforeAutospacing="0" w:after="0" w:afterAutospacing="0" w:line="360" w:lineRule="auto"/>
              <w:ind w:left="0" w:right="0"/>
              <w:jc w:val="left"/>
              <w:rPr>
                <w:rFonts w:hint="eastAsia" w:ascii="宋体" w:hAnsi="宋体"/>
                <w:kern w:val="0"/>
                <w:szCs w:val="21"/>
              </w:rPr>
            </w:pPr>
            <w:r>
              <w:rPr>
                <w:rFonts w:hint="eastAsia" w:ascii="宋体" w:hAnsi="宋体"/>
                <w:kern w:val="0"/>
                <w:szCs w:val="21"/>
              </w:rPr>
              <w:t>（2）对项目认识比较全面，设备的选型较合理，项目重点难点、施工关键技术工艺把握较为准确，能保障项目质量、工期和施工安全，得1</w:t>
            </w:r>
            <w:r>
              <w:rPr>
                <w:rFonts w:hint="eastAsia" w:ascii="宋体" w:hAnsi="宋体"/>
                <w:kern w:val="0"/>
                <w:szCs w:val="21"/>
                <w:lang w:eastAsia="zh"/>
                <w:woUserID w:val="2"/>
              </w:rPr>
              <w:t>0</w:t>
            </w:r>
            <w:r>
              <w:rPr>
                <w:rFonts w:hint="eastAsia" w:ascii="宋体" w:hAnsi="宋体"/>
                <w:kern w:val="0"/>
                <w:szCs w:val="21"/>
              </w:rPr>
              <w:t>分；</w:t>
            </w:r>
          </w:p>
          <w:p w14:paraId="44F2CAD9">
            <w:pPr>
              <w:keepNext w:val="0"/>
              <w:keepLines w:val="0"/>
              <w:widowControl/>
              <w:suppressLineNumbers w:val="0"/>
              <w:spacing w:before="0" w:beforeAutospacing="0" w:after="0" w:afterAutospacing="0" w:line="360" w:lineRule="auto"/>
              <w:ind w:left="0" w:right="0"/>
              <w:jc w:val="left"/>
              <w:rPr>
                <w:rFonts w:hint="eastAsia" w:ascii="宋体" w:hAnsi="宋体"/>
                <w:kern w:val="0"/>
                <w:szCs w:val="21"/>
              </w:rPr>
            </w:pPr>
            <w:r>
              <w:rPr>
                <w:rFonts w:hint="eastAsia" w:ascii="宋体" w:hAnsi="宋体"/>
                <w:kern w:val="0"/>
                <w:szCs w:val="21"/>
              </w:rPr>
              <w:t>（3）对项目认识基本了解，设备的选型基本合理，项目重点难点、施工关键技术工艺把握基本全面，基本能保障项目质量、工期和施工安全，得</w:t>
            </w:r>
            <w:r>
              <w:rPr>
                <w:rFonts w:hint="eastAsia" w:ascii="宋体" w:hAnsi="宋体"/>
                <w:kern w:val="0"/>
                <w:szCs w:val="21"/>
                <w:lang w:eastAsia="zh"/>
                <w:woUserID w:val="2"/>
              </w:rPr>
              <w:t>5</w:t>
            </w:r>
            <w:r>
              <w:rPr>
                <w:rFonts w:hint="eastAsia" w:ascii="宋体" w:hAnsi="宋体"/>
                <w:kern w:val="0"/>
                <w:szCs w:val="21"/>
              </w:rPr>
              <w:t>分；</w:t>
            </w:r>
          </w:p>
          <w:p w14:paraId="70D5271B">
            <w:pPr>
              <w:keepNext w:val="0"/>
              <w:keepLines w:val="0"/>
              <w:widowControl/>
              <w:suppressLineNumbers w:val="0"/>
              <w:spacing w:before="0" w:beforeAutospacing="0" w:after="0" w:afterAutospacing="0" w:line="360" w:lineRule="auto"/>
              <w:ind w:left="0" w:right="0"/>
              <w:jc w:val="left"/>
              <w:rPr>
                <w:rFonts w:hint="eastAsia" w:ascii="宋体" w:hAnsi="宋体"/>
                <w:kern w:val="0"/>
                <w:szCs w:val="21"/>
              </w:rPr>
            </w:pPr>
            <w:r>
              <w:rPr>
                <w:rFonts w:hint="eastAsia" w:ascii="宋体" w:hAnsi="宋体"/>
                <w:kern w:val="0"/>
                <w:szCs w:val="21"/>
              </w:rPr>
              <w:t>（4）对项目总体认识不够全面，设备的选型不合理，或项目重点难点、施工关键技术工艺把握不够准确，无法保障工程质量、工期和施工安全，得</w:t>
            </w:r>
            <w:r>
              <w:rPr>
                <w:rFonts w:hint="eastAsia" w:ascii="宋体" w:hAnsi="宋体"/>
                <w:kern w:val="0"/>
                <w:szCs w:val="21"/>
                <w:lang w:eastAsia="zh"/>
                <w:woUserID w:val="2"/>
              </w:rPr>
              <w:t>2</w:t>
            </w:r>
            <w:r>
              <w:rPr>
                <w:rFonts w:hint="eastAsia" w:ascii="宋体" w:hAnsi="宋体"/>
                <w:kern w:val="0"/>
                <w:szCs w:val="21"/>
              </w:rPr>
              <w:t>分；</w:t>
            </w:r>
          </w:p>
          <w:p w14:paraId="711849CD">
            <w:pPr>
              <w:keepNext w:val="0"/>
              <w:keepLines w:val="0"/>
              <w:widowControl/>
              <w:suppressLineNumbers w:val="0"/>
              <w:spacing w:before="0" w:beforeAutospacing="0" w:after="0" w:afterAutospacing="0" w:line="360" w:lineRule="auto"/>
              <w:ind w:left="0" w:right="0"/>
              <w:jc w:val="left"/>
              <w:rPr>
                <w:rFonts w:hint="eastAsia" w:ascii="宋体" w:hAnsi="宋体"/>
                <w:kern w:val="0"/>
                <w:szCs w:val="21"/>
              </w:rPr>
            </w:pPr>
            <w:r>
              <w:rPr>
                <w:rFonts w:hint="eastAsia" w:ascii="宋体" w:hAnsi="宋体"/>
                <w:kern w:val="0"/>
                <w:szCs w:val="21"/>
              </w:rPr>
              <w:t>（5）不提供不得分。</w:t>
            </w:r>
          </w:p>
        </w:tc>
      </w:tr>
      <w:tr w14:paraId="093A82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5" w:hRule="atLeast"/>
          <w:jc w:val="center"/>
        </w:trPr>
        <w:tc>
          <w:tcPr>
            <w:tcW w:w="455" w:type="pct"/>
            <w:tcBorders>
              <w:top w:val="single" w:color="auto" w:sz="6" w:space="0"/>
              <w:left w:val="single" w:color="auto" w:sz="12" w:space="0"/>
              <w:bottom w:val="single" w:color="auto" w:sz="6" w:space="0"/>
              <w:right w:val="single" w:color="auto" w:sz="6" w:space="0"/>
            </w:tcBorders>
            <w:noWrap w:val="0"/>
            <w:vAlign w:val="center"/>
          </w:tcPr>
          <w:p w14:paraId="57271D75">
            <w:pPr>
              <w:keepNext w:val="0"/>
              <w:keepLines w:val="0"/>
              <w:numPr>
                <w:ilvl w:val="0"/>
                <w:numId w:val="3"/>
              </w:numPr>
              <w:suppressLineNumbers w:val="0"/>
              <w:spacing w:before="0" w:beforeAutospacing="0" w:after="0" w:afterAutospacing="0" w:line="360" w:lineRule="auto"/>
              <w:ind w:right="0"/>
              <w:jc w:val="center"/>
              <w:rPr>
                <w:rFonts w:hint="eastAsia" w:ascii="宋体" w:hAnsi="宋体"/>
                <w:bCs/>
                <w:szCs w:val="21"/>
              </w:rPr>
            </w:pPr>
          </w:p>
        </w:tc>
        <w:tc>
          <w:tcPr>
            <w:tcW w:w="927" w:type="pct"/>
            <w:tcBorders>
              <w:top w:val="single" w:color="auto" w:sz="6" w:space="0"/>
              <w:left w:val="single" w:color="auto" w:sz="6" w:space="0"/>
              <w:bottom w:val="single" w:color="auto" w:sz="6" w:space="0"/>
              <w:right w:val="single" w:color="auto" w:sz="6" w:space="0"/>
            </w:tcBorders>
            <w:noWrap w:val="0"/>
            <w:vAlign w:val="center"/>
          </w:tcPr>
          <w:p w14:paraId="5D77F14F">
            <w:pPr>
              <w:keepNext w:val="0"/>
              <w:keepLines w:val="0"/>
              <w:suppressLineNumbers w:val="0"/>
              <w:spacing w:before="0" w:beforeAutospacing="0" w:after="0" w:afterAutospacing="0" w:line="360" w:lineRule="auto"/>
              <w:ind w:left="0" w:right="0"/>
              <w:jc w:val="center"/>
              <w:rPr>
                <w:rFonts w:hint="eastAsia" w:ascii="宋体" w:hAnsi="宋体"/>
                <w:kern w:val="0"/>
                <w:szCs w:val="21"/>
              </w:rPr>
            </w:pPr>
            <w:r>
              <w:rPr>
                <w:rFonts w:hint="eastAsia" w:ascii="宋体" w:hAnsi="宋体"/>
                <w:szCs w:val="21"/>
              </w:rPr>
              <w:t>施工进度计划和各阶段进度的保证措施</w:t>
            </w:r>
          </w:p>
        </w:tc>
        <w:tc>
          <w:tcPr>
            <w:tcW w:w="442" w:type="pct"/>
            <w:tcBorders>
              <w:top w:val="single" w:color="auto" w:sz="6" w:space="0"/>
              <w:left w:val="single" w:color="auto" w:sz="6" w:space="0"/>
              <w:bottom w:val="single" w:color="auto" w:sz="6" w:space="0"/>
              <w:right w:val="single" w:color="auto" w:sz="6" w:space="0"/>
            </w:tcBorders>
            <w:noWrap w:val="0"/>
            <w:vAlign w:val="center"/>
          </w:tcPr>
          <w:p w14:paraId="3D084BDE">
            <w:pPr>
              <w:keepNext w:val="0"/>
              <w:keepLines w:val="0"/>
              <w:suppressLineNumbers w:val="0"/>
              <w:spacing w:before="0" w:beforeAutospacing="0" w:after="0" w:afterAutospacing="0" w:line="360" w:lineRule="auto"/>
              <w:ind w:left="0" w:right="0"/>
              <w:jc w:val="center"/>
              <w:rPr>
                <w:rFonts w:hint="eastAsia" w:ascii="宋体" w:hAnsi="宋体"/>
                <w:kern w:val="0"/>
                <w:szCs w:val="21"/>
              </w:rPr>
            </w:pPr>
            <w:r>
              <w:rPr>
                <w:rFonts w:hint="eastAsia" w:ascii="宋体" w:hAnsi="宋体"/>
                <w:kern w:val="0"/>
                <w:szCs w:val="21"/>
              </w:rPr>
              <w:t>10</w:t>
            </w:r>
          </w:p>
        </w:tc>
        <w:tc>
          <w:tcPr>
            <w:tcW w:w="3176" w:type="pct"/>
            <w:tcBorders>
              <w:top w:val="single" w:color="auto" w:sz="6" w:space="0"/>
              <w:left w:val="single" w:color="auto" w:sz="6" w:space="0"/>
              <w:bottom w:val="single" w:color="auto" w:sz="6" w:space="0"/>
              <w:right w:val="single" w:color="auto" w:sz="12" w:space="0"/>
            </w:tcBorders>
            <w:noWrap w:val="0"/>
            <w:vAlign w:val="center"/>
          </w:tcPr>
          <w:p w14:paraId="44326B02">
            <w:pPr>
              <w:keepNext w:val="0"/>
              <w:keepLines w:val="0"/>
              <w:widowControl/>
              <w:suppressLineNumbers w:val="0"/>
              <w:spacing w:before="0" w:beforeAutospacing="0" w:after="0" w:afterAutospacing="0" w:line="360" w:lineRule="auto"/>
              <w:ind w:left="0" w:right="0"/>
              <w:jc w:val="left"/>
              <w:rPr>
                <w:rFonts w:hint="eastAsia" w:ascii="宋体" w:hAnsi="宋体"/>
                <w:szCs w:val="21"/>
              </w:rPr>
            </w:pPr>
            <w:r>
              <w:rPr>
                <w:rFonts w:hint="eastAsia" w:ascii="宋体" w:hAnsi="宋体"/>
                <w:szCs w:val="21"/>
              </w:rPr>
              <w:t>（1）施工进度计划优于招标文件工期要求，且施工总进度计划逻辑性强、可行、合理，保证措施明确具体，得10分；</w:t>
            </w:r>
          </w:p>
          <w:p w14:paraId="5CAC0933">
            <w:pPr>
              <w:keepNext w:val="0"/>
              <w:keepLines w:val="0"/>
              <w:widowControl/>
              <w:suppressLineNumbers w:val="0"/>
              <w:spacing w:before="0" w:beforeAutospacing="0" w:after="0" w:afterAutospacing="0" w:line="360" w:lineRule="auto"/>
              <w:ind w:left="0" w:right="0"/>
              <w:jc w:val="left"/>
              <w:rPr>
                <w:rFonts w:hint="eastAsia" w:ascii="宋体" w:hAnsi="宋体"/>
                <w:szCs w:val="21"/>
              </w:rPr>
            </w:pPr>
            <w:r>
              <w:rPr>
                <w:rFonts w:hint="eastAsia" w:ascii="宋体" w:hAnsi="宋体"/>
                <w:szCs w:val="21"/>
              </w:rPr>
              <w:t>（2）工程进度计划满足招标文件工期要求，且施工总进度计划逻辑性较强、可行、较合理，有保证措施，得7分；</w:t>
            </w:r>
          </w:p>
          <w:p w14:paraId="22846130">
            <w:pPr>
              <w:keepNext w:val="0"/>
              <w:keepLines w:val="0"/>
              <w:suppressLineNumbers w:val="0"/>
              <w:spacing w:before="0" w:beforeAutospacing="0" w:after="0" w:afterAutospacing="0" w:line="360" w:lineRule="auto"/>
              <w:ind w:left="0" w:right="0"/>
              <w:jc w:val="left"/>
              <w:rPr>
                <w:rFonts w:hint="eastAsia" w:ascii="宋体" w:hAnsi="宋体"/>
                <w:szCs w:val="21"/>
              </w:rPr>
            </w:pPr>
            <w:r>
              <w:rPr>
                <w:rFonts w:hint="eastAsia" w:ascii="宋体" w:hAnsi="宋体"/>
                <w:szCs w:val="21"/>
              </w:rPr>
              <w:t>（3）工程进度计划满足招标文件工期要求，且施工总进度计划逻辑性一般、较可行、较合理，得4分；</w:t>
            </w:r>
          </w:p>
          <w:p w14:paraId="470FBDB6">
            <w:pPr>
              <w:keepNext w:val="0"/>
              <w:keepLines w:val="0"/>
              <w:suppressLineNumbers w:val="0"/>
              <w:spacing w:before="0" w:beforeAutospacing="0" w:after="0" w:afterAutospacing="0" w:line="360" w:lineRule="auto"/>
              <w:ind w:left="0" w:right="0"/>
              <w:jc w:val="left"/>
              <w:rPr>
                <w:rFonts w:hint="eastAsia" w:ascii="宋体" w:hAnsi="宋体"/>
                <w:szCs w:val="21"/>
              </w:rPr>
            </w:pPr>
            <w:r>
              <w:rPr>
                <w:rFonts w:hint="eastAsia" w:ascii="宋体" w:hAnsi="宋体"/>
                <w:szCs w:val="21"/>
              </w:rPr>
              <w:t>（4）工程进度计划满足招标文件工期要求，且施工总进度计划逻辑性不合理、不可行的，得1分；</w:t>
            </w:r>
          </w:p>
          <w:p w14:paraId="523DB888">
            <w:pPr>
              <w:keepNext w:val="0"/>
              <w:keepLines w:val="0"/>
              <w:suppressLineNumbers w:val="0"/>
              <w:spacing w:before="0" w:beforeAutospacing="0" w:after="0" w:afterAutospacing="0" w:line="360" w:lineRule="auto"/>
              <w:ind w:left="0" w:right="0"/>
              <w:rPr>
                <w:rFonts w:hint="eastAsia" w:ascii="宋体" w:hAnsi="宋体"/>
                <w:sz w:val="28"/>
                <w:szCs w:val="28"/>
              </w:rPr>
            </w:pPr>
            <w:r>
              <w:rPr>
                <w:rFonts w:hint="eastAsia" w:ascii="宋体" w:hAnsi="宋体"/>
                <w:kern w:val="0"/>
                <w:szCs w:val="21"/>
              </w:rPr>
              <w:t>（5）不提供不得分。</w:t>
            </w:r>
          </w:p>
        </w:tc>
      </w:tr>
      <w:tr w14:paraId="546951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455" w:type="pct"/>
            <w:tcBorders>
              <w:top w:val="single" w:color="auto" w:sz="6" w:space="0"/>
              <w:left w:val="single" w:color="auto" w:sz="12" w:space="0"/>
              <w:bottom w:val="single" w:color="auto" w:sz="6" w:space="0"/>
              <w:right w:val="single" w:color="auto" w:sz="6" w:space="0"/>
            </w:tcBorders>
            <w:noWrap w:val="0"/>
            <w:vAlign w:val="center"/>
          </w:tcPr>
          <w:p w14:paraId="7A39DA3A">
            <w:pPr>
              <w:keepNext w:val="0"/>
              <w:keepLines w:val="0"/>
              <w:numPr>
                <w:ilvl w:val="0"/>
                <w:numId w:val="3"/>
              </w:numPr>
              <w:suppressLineNumbers w:val="0"/>
              <w:spacing w:before="0" w:beforeAutospacing="0" w:after="0" w:afterAutospacing="0" w:line="360" w:lineRule="auto"/>
              <w:ind w:right="0"/>
              <w:jc w:val="center"/>
              <w:rPr>
                <w:rFonts w:hint="eastAsia" w:ascii="宋体" w:hAnsi="宋体"/>
                <w:bCs/>
                <w:szCs w:val="21"/>
              </w:rPr>
            </w:pPr>
          </w:p>
        </w:tc>
        <w:tc>
          <w:tcPr>
            <w:tcW w:w="927" w:type="pct"/>
            <w:tcBorders>
              <w:top w:val="single" w:color="auto" w:sz="6" w:space="0"/>
              <w:left w:val="single" w:color="auto" w:sz="6" w:space="0"/>
              <w:bottom w:val="single" w:color="auto" w:sz="6" w:space="0"/>
              <w:right w:val="single" w:color="auto" w:sz="6" w:space="0"/>
            </w:tcBorders>
            <w:noWrap w:val="0"/>
            <w:vAlign w:val="center"/>
          </w:tcPr>
          <w:p w14:paraId="6C36DC1B">
            <w:pPr>
              <w:keepNext w:val="0"/>
              <w:keepLines w:val="0"/>
              <w:suppressLineNumbers w:val="0"/>
              <w:spacing w:before="0" w:beforeAutospacing="0" w:after="0" w:afterAutospacing="0" w:line="360" w:lineRule="auto"/>
              <w:ind w:left="0" w:right="0"/>
              <w:jc w:val="center"/>
              <w:rPr>
                <w:rFonts w:hint="eastAsia" w:ascii="宋体" w:hAnsi="宋体"/>
                <w:kern w:val="0"/>
                <w:szCs w:val="21"/>
              </w:rPr>
            </w:pPr>
            <w:r>
              <w:rPr>
                <w:rFonts w:hint="eastAsia" w:ascii="宋体" w:hAnsi="宋体" w:cs="Arial"/>
                <w:szCs w:val="21"/>
              </w:rPr>
              <w:t>安全文明</w:t>
            </w:r>
          </w:p>
        </w:tc>
        <w:tc>
          <w:tcPr>
            <w:tcW w:w="442" w:type="pct"/>
            <w:tcBorders>
              <w:top w:val="single" w:color="auto" w:sz="6" w:space="0"/>
              <w:left w:val="single" w:color="auto" w:sz="6" w:space="0"/>
              <w:bottom w:val="single" w:color="auto" w:sz="6" w:space="0"/>
              <w:right w:val="single" w:color="auto" w:sz="6" w:space="0"/>
            </w:tcBorders>
            <w:noWrap w:val="0"/>
            <w:vAlign w:val="center"/>
          </w:tcPr>
          <w:p w14:paraId="79CF78A5">
            <w:pPr>
              <w:keepNext w:val="0"/>
              <w:keepLines w:val="0"/>
              <w:suppressLineNumbers w:val="0"/>
              <w:spacing w:before="0" w:beforeAutospacing="0" w:after="0" w:afterAutospacing="0" w:line="360" w:lineRule="auto"/>
              <w:ind w:left="0" w:right="0"/>
              <w:jc w:val="center"/>
              <w:rPr>
                <w:rFonts w:hint="eastAsia" w:ascii="宋体" w:hAnsi="宋体"/>
                <w:kern w:val="0"/>
                <w:szCs w:val="21"/>
              </w:rPr>
            </w:pPr>
            <w:r>
              <w:rPr>
                <w:rFonts w:hint="eastAsia" w:ascii="宋体" w:hAnsi="宋体"/>
                <w:kern w:val="0"/>
                <w:szCs w:val="21"/>
                <w:lang w:eastAsia="zh"/>
                <w:woUserID w:val="2"/>
              </w:rPr>
              <w:t>10</w:t>
            </w:r>
          </w:p>
        </w:tc>
        <w:tc>
          <w:tcPr>
            <w:tcW w:w="3176" w:type="pct"/>
            <w:tcBorders>
              <w:top w:val="single" w:color="auto" w:sz="6" w:space="0"/>
              <w:left w:val="single" w:color="auto" w:sz="6" w:space="0"/>
              <w:bottom w:val="single" w:color="auto" w:sz="6" w:space="0"/>
              <w:right w:val="single" w:color="auto" w:sz="12" w:space="0"/>
            </w:tcBorders>
            <w:noWrap w:val="0"/>
            <w:vAlign w:val="center"/>
          </w:tcPr>
          <w:p w14:paraId="5D8F4CFB">
            <w:pPr>
              <w:keepNext w:val="0"/>
              <w:keepLines w:val="0"/>
              <w:widowControl/>
              <w:suppressLineNumbers w:val="0"/>
              <w:spacing w:before="0" w:beforeAutospacing="0" w:after="0" w:afterAutospacing="0" w:line="360" w:lineRule="auto"/>
              <w:ind w:left="0" w:right="0"/>
              <w:jc w:val="left"/>
              <w:rPr>
                <w:rFonts w:hint="eastAsia" w:ascii="宋体" w:hAnsi="宋体"/>
                <w:szCs w:val="21"/>
              </w:rPr>
            </w:pPr>
            <w:r>
              <w:rPr>
                <w:rFonts w:hint="eastAsia" w:ascii="宋体" w:hAnsi="宋体"/>
                <w:szCs w:val="21"/>
              </w:rPr>
              <w:t>（1）安全管理体系完整、职责分明、防护措施针对性强，得10分；</w:t>
            </w:r>
          </w:p>
          <w:p w14:paraId="3CB8772F">
            <w:pPr>
              <w:keepNext w:val="0"/>
              <w:keepLines w:val="0"/>
              <w:suppressLineNumbers w:val="0"/>
              <w:spacing w:before="0" w:beforeAutospacing="0" w:after="0" w:afterAutospacing="0" w:line="360" w:lineRule="auto"/>
              <w:ind w:left="0" w:right="0"/>
              <w:jc w:val="left"/>
              <w:rPr>
                <w:rFonts w:hint="eastAsia" w:ascii="宋体" w:hAnsi="宋体"/>
                <w:szCs w:val="21"/>
              </w:rPr>
            </w:pPr>
            <w:r>
              <w:rPr>
                <w:rFonts w:hint="eastAsia" w:ascii="宋体" w:hAnsi="宋体"/>
                <w:szCs w:val="21"/>
              </w:rPr>
              <w:t>（2）安全管理体系较完整、职责分明、防护措施针对性较强，得7分；</w:t>
            </w:r>
          </w:p>
          <w:p w14:paraId="63E71743">
            <w:pPr>
              <w:keepNext w:val="0"/>
              <w:keepLines w:val="0"/>
              <w:suppressLineNumbers w:val="0"/>
              <w:spacing w:before="0" w:beforeAutospacing="0" w:after="0" w:afterAutospacing="0" w:line="360" w:lineRule="auto"/>
              <w:ind w:left="0" w:right="0"/>
              <w:jc w:val="left"/>
              <w:rPr>
                <w:rFonts w:hint="eastAsia" w:ascii="宋体" w:hAnsi="宋体"/>
                <w:szCs w:val="21"/>
              </w:rPr>
            </w:pPr>
            <w:r>
              <w:rPr>
                <w:rFonts w:hint="eastAsia" w:ascii="宋体" w:hAnsi="宋体"/>
                <w:szCs w:val="21"/>
              </w:rPr>
              <w:t>（3）安全管理体系一般、职责不够细化、防护措施针对性一般，得4分；</w:t>
            </w:r>
          </w:p>
          <w:p w14:paraId="07FDD504">
            <w:pPr>
              <w:keepNext w:val="0"/>
              <w:keepLines w:val="0"/>
              <w:suppressLineNumbers w:val="0"/>
              <w:spacing w:before="0" w:beforeAutospacing="0" w:after="0" w:afterAutospacing="0" w:line="360" w:lineRule="auto"/>
              <w:ind w:left="0" w:right="0"/>
              <w:jc w:val="left"/>
              <w:rPr>
                <w:rFonts w:hint="eastAsia" w:ascii="宋体" w:hAnsi="宋体"/>
                <w:szCs w:val="21"/>
              </w:rPr>
            </w:pPr>
            <w:r>
              <w:rPr>
                <w:rFonts w:hint="eastAsia" w:ascii="宋体" w:hAnsi="宋体"/>
                <w:szCs w:val="21"/>
              </w:rPr>
              <w:t>（4）安全管理体系不完整、职责不明确、防护措施针对性差，得1分；</w:t>
            </w:r>
          </w:p>
          <w:p w14:paraId="12E51087">
            <w:pPr>
              <w:keepNext w:val="0"/>
              <w:keepLines w:val="0"/>
              <w:suppressLineNumbers w:val="0"/>
              <w:spacing w:before="0" w:beforeAutospacing="0" w:after="0" w:afterAutospacing="0" w:line="360" w:lineRule="auto"/>
              <w:ind w:left="0" w:right="0"/>
              <w:rPr>
                <w:rFonts w:hint="eastAsia" w:ascii="宋体" w:hAnsi="宋体"/>
                <w:sz w:val="28"/>
                <w:szCs w:val="28"/>
              </w:rPr>
            </w:pPr>
            <w:r>
              <w:rPr>
                <w:rFonts w:hint="eastAsia" w:ascii="宋体" w:hAnsi="宋体"/>
                <w:kern w:val="0"/>
                <w:szCs w:val="21"/>
              </w:rPr>
              <w:t>（5）不提供不得分。</w:t>
            </w:r>
          </w:p>
        </w:tc>
      </w:tr>
      <w:tr w14:paraId="0948DD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455" w:type="pct"/>
            <w:tcBorders>
              <w:top w:val="single" w:color="auto" w:sz="6" w:space="0"/>
              <w:left w:val="single" w:color="auto" w:sz="12" w:space="0"/>
              <w:bottom w:val="single" w:color="auto" w:sz="6" w:space="0"/>
              <w:right w:val="single" w:color="auto" w:sz="6" w:space="0"/>
            </w:tcBorders>
            <w:noWrap w:val="0"/>
            <w:vAlign w:val="center"/>
          </w:tcPr>
          <w:p w14:paraId="5DE63729">
            <w:pPr>
              <w:keepNext w:val="0"/>
              <w:keepLines w:val="0"/>
              <w:numPr>
                <w:ilvl w:val="0"/>
                <w:numId w:val="3"/>
              </w:numPr>
              <w:suppressLineNumbers w:val="0"/>
              <w:spacing w:before="0" w:beforeAutospacing="0" w:after="0" w:afterAutospacing="0" w:line="360" w:lineRule="auto"/>
              <w:ind w:right="0"/>
              <w:jc w:val="center"/>
              <w:rPr>
                <w:rFonts w:hint="eastAsia" w:ascii="宋体" w:hAnsi="宋体"/>
                <w:bCs/>
                <w:szCs w:val="21"/>
              </w:rPr>
            </w:pPr>
          </w:p>
        </w:tc>
        <w:tc>
          <w:tcPr>
            <w:tcW w:w="927" w:type="pct"/>
            <w:tcBorders>
              <w:top w:val="single" w:color="auto" w:sz="6" w:space="0"/>
              <w:left w:val="single" w:color="auto" w:sz="6" w:space="0"/>
              <w:bottom w:val="single" w:color="auto" w:sz="6" w:space="0"/>
              <w:right w:val="single" w:color="auto" w:sz="6" w:space="0"/>
            </w:tcBorders>
            <w:noWrap w:val="0"/>
            <w:vAlign w:val="center"/>
          </w:tcPr>
          <w:p w14:paraId="392A587E">
            <w:pPr>
              <w:keepNext w:val="0"/>
              <w:keepLines w:val="0"/>
              <w:suppressLineNumbers w:val="0"/>
              <w:spacing w:before="0" w:beforeAutospacing="0" w:after="0" w:afterAutospacing="0" w:line="360" w:lineRule="auto"/>
              <w:ind w:left="0" w:right="0"/>
              <w:jc w:val="center"/>
              <w:rPr>
                <w:rFonts w:hint="eastAsia" w:ascii="宋体" w:hAnsi="宋体" w:cs="Arial"/>
                <w:szCs w:val="21"/>
              </w:rPr>
            </w:pPr>
            <w:r>
              <w:rPr>
                <w:rFonts w:hint="eastAsia" w:ascii="宋体" w:hAnsi="宋体" w:cs="Arial"/>
                <w:szCs w:val="21"/>
              </w:rPr>
              <w:t>售后服务方案</w:t>
            </w:r>
          </w:p>
        </w:tc>
        <w:tc>
          <w:tcPr>
            <w:tcW w:w="442" w:type="pct"/>
            <w:tcBorders>
              <w:top w:val="single" w:color="auto" w:sz="6" w:space="0"/>
              <w:left w:val="single" w:color="auto" w:sz="6" w:space="0"/>
              <w:bottom w:val="single" w:color="auto" w:sz="6" w:space="0"/>
              <w:right w:val="single" w:color="auto" w:sz="6" w:space="0"/>
            </w:tcBorders>
            <w:noWrap w:val="0"/>
            <w:vAlign w:val="center"/>
          </w:tcPr>
          <w:p w14:paraId="540D7B72">
            <w:pPr>
              <w:keepNext w:val="0"/>
              <w:keepLines w:val="0"/>
              <w:suppressLineNumbers w:val="0"/>
              <w:spacing w:before="0" w:beforeAutospacing="0" w:after="0" w:afterAutospacing="0" w:line="360" w:lineRule="auto"/>
              <w:ind w:left="0" w:right="0"/>
              <w:jc w:val="center"/>
              <w:rPr>
                <w:rFonts w:hint="eastAsia" w:ascii="宋体" w:hAnsi="宋体"/>
                <w:kern w:val="0"/>
                <w:szCs w:val="21"/>
              </w:rPr>
            </w:pPr>
            <w:r>
              <w:rPr>
                <w:rFonts w:hint="eastAsia" w:ascii="宋体" w:hAnsi="宋体"/>
                <w:kern w:val="0"/>
                <w:szCs w:val="21"/>
                <w:lang w:eastAsia="zh"/>
                <w:woUserID w:val="2"/>
              </w:rPr>
              <w:t>5</w:t>
            </w:r>
          </w:p>
        </w:tc>
        <w:tc>
          <w:tcPr>
            <w:tcW w:w="3176" w:type="pct"/>
            <w:tcBorders>
              <w:top w:val="single" w:color="auto" w:sz="6" w:space="0"/>
              <w:left w:val="single" w:color="auto" w:sz="6" w:space="0"/>
              <w:bottom w:val="single" w:color="auto" w:sz="6" w:space="0"/>
              <w:right w:val="single" w:color="auto" w:sz="12" w:space="0"/>
            </w:tcBorders>
            <w:noWrap w:val="0"/>
            <w:vAlign w:val="center"/>
          </w:tcPr>
          <w:p w14:paraId="7491C746">
            <w:pPr>
              <w:keepNext w:val="0"/>
              <w:keepLines w:val="0"/>
              <w:suppressLineNumbers w:val="0"/>
              <w:spacing w:before="0" w:beforeAutospacing="0" w:after="0" w:afterAutospacing="0" w:line="360" w:lineRule="auto"/>
              <w:ind w:left="0" w:right="0"/>
              <w:jc w:val="left"/>
              <w:rPr>
                <w:rFonts w:hint="eastAsia" w:ascii="宋体" w:hAnsi="宋体"/>
                <w:szCs w:val="21"/>
              </w:rPr>
            </w:pPr>
            <w:r>
              <w:rPr>
                <w:rFonts w:hint="eastAsia" w:ascii="宋体" w:hAnsi="宋体"/>
                <w:szCs w:val="21"/>
              </w:rPr>
              <w:t>（1）售后服务范围完整具体，服务方案内容详细、切实可行，质保期满后的服务承诺具体、完善、合理的，得</w:t>
            </w:r>
            <w:r>
              <w:rPr>
                <w:rFonts w:hint="eastAsia" w:ascii="宋体" w:hAnsi="宋体"/>
                <w:szCs w:val="21"/>
                <w:lang w:eastAsia="zh"/>
                <w:woUserID w:val="2"/>
              </w:rPr>
              <w:t>5</w:t>
            </w:r>
            <w:r>
              <w:rPr>
                <w:rFonts w:hint="eastAsia" w:ascii="宋体" w:hAnsi="宋体"/>
                <w:szCs w:val="21"/>
              </w:rPr>
              <w:t>分；</w:t>
            </w:r>
          </w:p>
          <w:p w14:paraId="0AACDE56">
            <w:pPr>
              <w:keepNext w:val="0"/>
              <w:keepLines w:val="0"/>
              <w:suppressLineNumbers w:val="0"/>
              <w:spacing w:before="0" w:beforeAutospacing="0" w:after="0" w:afterAutospacing="0" w:line="360" w:lineRule="auto"/>
              <w:ind w:left="0" w:right="0"/>
              <w:jc w:val="left"/>
              <w:rPr>
                <w:rFonts w:hint="eastAsia" w:ascii="宋体" w:hAnsi="宋体"/>
                <w:szCs w:val="21"/>
              </w:rPr>
            </w:pPr>
            <w:r>
              <w:rPr>
                <w:rFonts w:hint="eastAsia" w:ascii="宋体" w:hAnsi="宋体"/>
                <w:szCs w:val="21"/>
              </w:rPr>
              <w:t>（2）售后服务范围比较完整、具体，服务方案内容比较详细、可行，质保期满后的服务承诺比较具体和完善的，得</w:t>
            </w:r>
            <w:r>
              <w:rPr>
                <w:rFonts w:hint="eastAsia" w:ascii="宋体" w:hAnsi="宋体"/>
                <w:szCs w:val="21"/>
                <w:lang w:eastAsia="zh"/>
                <w:woUserID w:val="2"/>
              </w:rPr>
              <w:t>3</w:t>
            </w:r>
            <w:r>
              <w:rPr>
                <w:rFonts w:hint="eastAsia" w:ascii="宋体" w:hAnsi="宋体"/>
                <w:szCs w:val="21"/>
              </w:rPr>
              <w:t>分；</w:t>
            </w:r>
          </w:p>
          <w:p w14:paraId="105831AE">
            <w:pPr>
              <w:keepNext w:val="0"/>
              <w:keepLines w:val="0"/>
              <w:suppressLineNumbers w:val="0"/>
              <w:spacing w:before="0" w:beforeAutospacing="0" w:after="0" w:afterAutospacing="0" w:line="360" w:lineRule="auto"/>
              <w:ind w:left="0" w:right="0"/>
              <w:jc w:val="left"/>
              <w:rPr>
                <w:rFonts w:hint="eastAsia" w:ascii="宋体" w:hAnsi="宋体"/>
                <w:szCs w:val="21"/>
              </w:rPr>
            </w:pPr>
            <w:r>
              <w:rPr>
                <w:rFonts w:hint="eastAsia" w:ascii="宋体" w:hAnsi="宋体"/>
                <w:szCs w:val="21"/>
              </w:rPr>
              <w:t>（3）售后服务范围基本完整，服务方案内容不够详细，质保期满后的服务承诺不够具体和完善的，得</w:t>
            </w:r>
            <w:r>
              <w:rPr>
                <w:rFonts w:hint="eastAsia" w:ascii="宋体" w:hAnsi="宋体"/>
                <w:szCs w:val="21"/>
                <w:lang w:eastAsia="zh"/>
                <w:woUserID w:val="2"/>
              </w:rPr>
              <w:t>2</w:t>
            </w:r>
            <w:r>
              <w:rPr>
                <w:rFonts w:hint="eastAsia" w:ascii="宋体" w:hAnsi="宋体"/>
                <w:szCs w:val="21"/>
              </w:rPr>
              <w:t>分；</w:t>
            </w:r>
          </w:p>
          <w:p w14:paraId="248BBDA4">
            <w:pPr>
              <w:keepNext w:val="0"/>
              <w:keepLines w:val="0"/>
              <w:suppressLineNumbers w:val="0"/>
              <w:spacing w:before="0" w:beforeAutospacing="0" w:after="0" w:afterAutospacing="0" w:line="360" w:lineRule="auto"/>
              <w:ind w:left="0" w:right="0"/>
              <w:jc w:val="left"/>
              <w:rPr>
                <w:rFonts w:hint="eastAsia" w:ascii="宋体" w:hAnsi="宋体"/>
                <w:szCs w:val="21"/>
              </w:rPr>
            </w:pPr>
            <w:r>
              <w:rPr>
                <w:rFonts w:hint="eastAsia" w:ascii="宋体" w:hAnsi="宋体"/>
                <w:szCs w:val="21"/>
              </w:rPr>
              <w:t>（4）售后服务范围不完整、具体，服务方案内容不可行，质保期满后的服务承诺不完善的，得1分；</w:t>
            </w:r>
          </w:p>
          <w:p w14:paraId="66BA23DA">
            <w:pPr>
              <w:keepNext w:val="0"/>
              <w:keepLines w:val="0"/>
              <w:suppressLineNumbers w:val="0"/>
              <w:spacing w:before="0" w:beforeAutospacing="0" w:after="0" w:afterAutospacing="0" w:line="360" w:lineRule="auto"/>
              <w:ind w:left="0" w:right="0"/>
              <w:jc w:val="left"/>
              <w:rPr>
                <w:rFonts w:hint="eastAsia" w:cs="宋体"/>
                <w:kern w:val="0"/>
                <w:szCs w:val="21"/>
              </w:rPr>
            </w:pPr>
            <w:r>
              <w:rPr>
                <w:rFonts w:hint="eastAsia" w:ascii="宋体" w:hAnsi="宋体"/>
                <w:szCs w:val="21"/>
              </w:rPr>
              <w:t>（5）</w:t>
            </w:r>
            <w:r>
              <w:rPr>
                <w:rFonts w:hint="eastAsia" w:ascii="宋体" w:hAnsi="宋体"/>
                <w:kern w:val="0"/>
                <w:szCs w:val="21"/>
              </w:rPr>
              <w:t>不提供不得分。</w:t>
            </w:r>
          </w:p>
        </w:tc>
      </w:tr>
      <w:tr w14:paraId="64ABE5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5000" w:type="pct"/>
            <w:gridSpan w:val="4"/>
            <w:tcBorders>
              <w:top w:val="single" w:color="auto" w:sz="6" w:space="0"/>
              <w:left w:val="single" w:color="auto" w:sz="12" w:space="0"/>
              <w:bottom w:val="single" w:color="auto" w:sz="12" w:space="0"/>
              <w:right w:val="single" w:color="auto" w:sz="12" w:space="0"/>
            </w:tcBorders>
            <w:noWrap w:val="0"/>
            <w:vAlign w:val="center"/>
          </w:tcPr>
          <w:p w14:paraId="5F78D249">
            <w:pPr>
              <w:keepNext w:val="0"/>
              <w:keepLines w:val="0"/>
              <w:suppressLineNumbers w:val="0"/>
              <w:spacing w:before="0" w:beforeAutospacing="0" w:after="0" w:afterAutospacing="0" w:line="360" w:lineRule="auto"/>
              <w:ind w:left="0" w:right="0"/>
              <w:jc w:val="center"/>
              <w:rPr>
                <w:rFonts w:hint="default" w:ascii="宋体" w:hAnsi="宋体"/>
                <w:bCs/>
                <w:szCs w:val="21"/>
              </w:rPr>
            </w:pPr>
            <w:r>
              <w:rPr>
                <w:rFonts w:hint="eastAsia" w:ascii="宋体" w:hAnsi="宋体"/>
                <w:bCs/>
                <w:szCs w:val="21"/>
              </w:rPr>
              <w:t>合计：</w:t>
            </w:r>
            <w:r>
              <w:rPr>
                <w:rFonts w:hint="eastAsia" w:ascii="宋体" w:hAnsi="宋体"/>
                <w:bCs/>
                <w:szCs w:val="21"/>
                <w:lang w:eastAsia="zh"/>
                <w:woUserID w:val="2"/>
              </w:rPr>
              <w:t>4</w:t>
            </w:r>
            <w:r>
              <w:rPr>
                <w:rFonts w:hint="eastAsia" w:ascii="宋体" w:hAnsi="宋体"/>
                <w:bCs/>
                <w:szCs w:val="21"/>
              </w:rPr>
              <w:t>0分</w:t>
            </w:r>
          </w:p>
        </w:tc>
      </w:tr>
    </w:tbl>
    <w:p w14:paraId="023B631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C067A22">
      <w:pPr>
        <w:pStyle w:val="3"/>
        <w:keepNext w:val="0"/>
        <w:keepLines w:val="0"/>
        <w:widowControl/>
        <w:suppressLineNumbers w:val="0"/>
        <w:rPr>
          <w:rFonts w:hint="eastAsia" w:ascii="宋体" w:hAnsi="宋体" w:eastAsia="宋体" w:cs="宋体"/>
          <w:b/>
          <w:bCs/>
          <w:kern w:val="2"/>
          <w:sz w:val="21"/>
          <w:szCs w:val="21"/>
        </w:rPr>
      </w:pPr>
      <w:r>
        <w:rPr>
          <w:rFonts w:hint="eastAsia" w:ascii="宋体" w:hAnsi="宋体" w:eastAsia="宋体" w:cs="宋体"/>
          <w:b/>
          <w:bCs/>
          <w:kern w:val="2"/>
          <w:sz w:val="21"/>
          <w:szCs w:val="21"/>
        </w:rPr>
        <w:t xml:space="preserve"> </w:t>
      </w:r>
    </w:p>
    <w:p w14:paraId="5D0802C2">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9CAE02E">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160ECE7">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1A77A15">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6E3E1E1">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88A42C4">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CE8FC1B">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3498B2E">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AD23DC9">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C4048D2">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196BBEF">
      <w:pPr>
        <w:keepNext w:val="0"/>
        <w:keepLines w:val="0"/>
        <w:widowControl w:val="0"/>
        <w:suppressLineNumbers w:val="0"/>
        <w:spacing w:before="0" w:beforeAutospacing="0" w:after="0" w:afterAutospacing="0"/>
        <w:ind w:left="0" w:right="0"/>
        <w:jc w:val="both"/>
        <w:rPr>
          <w:rFonts w:hint="eastAsia" w:ascii="等线 Light" w:hAnsi="宋体" w:eastAsia="等线 Light" w:cs="Times New Roman"/>
          <w:b/>
          <w:bCs/>
          <w:kern w:val="2"/>
          <w:sz w:val="28"/>
          <w:szCs w:val="28"/>
        </w:rPr>
      </w:pPr>
      <w:r>
        <w:rPr>
          <w:rFonts w:hint="eastAsia" w:ascii="宋体" w:hAnsi="宋体" w:eastAsia="宋体" w:cs="宋体"/>
          <w:kern w:val="2"/>
          <w:sz w:val="21"/>
          <w:szCs w:val="21"/>
          <w:lang w:val="en-US" w:eastAsia="zh-CN" w:bidi="ar"/>
        </w:rPr>
        <w:t xml:space="preserve">  </w:t>
      </w:r>
      <w:r>
        <w:rPr>
          <w:rFonts w:hint="eastAsia" w:ascii="宋体" w:hAnsi="宋体" w:eastAsia="宋体" w:cs="宋体"/>
          <w:b/>
          <w:bCs/>
          <w:kern w:val="2"/>
          <w:sz w:val="21"/>
          <w:szCs w:val="21"/>
          <w:lang w:val="en-US" w:eastAsia="zh-CN" w:bidi="ar"/>
        </w:rPr>
        <w:t xml:space="preserve">附件四： </w:t>
      </w:r>
      <w:r>
        <w:rPr>
          <w:rFonts w:hint="eastAsia" w:ascii="等线 Light" w:hAnsi="宋体" w:eastAsia="等线 Light" w:cs="Times New Roman"/>
          <w:b/>
          <w:bCs/>
          <w:kern w:val="2"/>
          <w:sz w:val="28"/>
          <w:szCs w:val="28"/>
          <w:lang w:val="en-US" w:eastAsia="zh-CN" w:bidi="ar"/>
        </w:rPr>
        <w:t xml:space="preserve">   </w:t>
      </w:r>
    </w:p>
    <w:p w14:paraId="236BCC46">
      <w:pPr>
        <w:keepNext w:val="0"/>
        <w:keepLines w:val="0"/>
        <w:widowControl w:val="0"/>
        <w:suppressLineNumbers w:val="0"/>
        <w:spacing w:before="0" w:beforeAutospacing="0" w:after="0" w:afterAutospacing="0"/>
        <w:ind w:left="0" w:right="0"/>
        <w:jc w:val="center"/>
        <w:outlineLvl w:val="1"/>
        <w:rPr>
          <w:rFonts w:hint="eastAsia" w:ascii="宋体" w:hAnsi="宋体" w:eastAsia="宋体" w:cs="宋体"/>
          <w:b/>
          <w:bCs w:val="0"/>
          <w:kern w:val="2"/>
          <w:sz w:val="24"/>
          <w:szCs w:val="24"/>
        </w:rPr>
      </w:pPr>
      <w:r>
        <w:rPr>
          <w:rFonts w:hint="eastAsia" w:ascii="宋体" w:hAnsi="宋体" w:eastAsia="宋体" w:cs="宋体"/>
          <w:b/>
          <w:bCs/>
          <w:kern w:val="2"/>
          <w:sz w:val="24"/>
          <w:szCs w:val="24"/>
          <w:lang w:val="en-US" w:eastAsia="zh-CN" w:bidi="ar"/>
        </w:rPr>
        <w:t>广州美术学院综合档案室气体灭火消防系统建设项目（三次）</w:t>
      </w:r>
      <w:r>
        <w:rPr>
          <w:rFonts w:hint="eastAsia" w:ascii="宋体" w:hAnsi="宋体" w:eastAsia="宋体" w:cs="宋体"/>
          <w:b/>
          <w:bCs w:val="0"/>
          <w:kern w:val="2"/>
          <w:sz w:val="24"/>
          <w:szCs w:val="24"/>
          <w:lang w:val="en-US" w:eastAsia="zh-CN" w:bidi="ar"/>
        </w:rPr>
        <w:t>（校内2025-27）</w:t>
      </w:r>
    </w:p>
    <w:p w14:paraId="57C03083">
      <w:pPr>
        <w:keepNext w:val="0"/>
        <w:keepLines w:val="0"/>
        <w:widowControl w:val="0"/>
        <w:suppressLineNumbers w:val="0"/>
        <w:spacing w:before="0" w:beforeAutospacing="0" w:after="0" w:afterAutospacing="0"/>
        <w:ind w:left="0" w:right="0"/>
        <w:jc w:val="center"/>
        <w:outlineLvl w:val="1"/>
        <w:rPr>
          <w:rFonts w:hint="eastAsia" w:ascii="仿宋_GB2312" w:hAnsi="仿宋" w:eastAsia="仿宋_GB2312" w:cs="仿宋_GB2312"/>
          <w:b/>
          <w:bCs w:val="0"/>
          <w:color w:val="000000"/>
          <w:kern w:val="2"/>
          <w:sz w:val="24"/>
          <w:szCs w:val="24"/>
        </w:rPr>
      </w:pPr>
      <w:r>
        <w:rPr>
          <w:rFonts w:hint="eastAsia" w:ascii="宋体" w:hAnsi="宋体" w:eastAsia="宋体" w:cs="宋体"/>
          <w:b/>
          <w:bCs w:val="0"/>
          <w:kern w:val="2"/>
          <w:sz w:val="24"/>
          <w:szCs w:val="24"/>
          <w:lang w:val="en-US" w:eastAsia="zh-CN" w:bidi="ar"/>
        </w:rPr>
        <w:t>商务评分表</w:t>
      </w:r>
    </w:p>
    <w:p w14:paraId="0720B49A">
      <w:pPr>
        <w:keepNext w:val="0"/>
        <w:keepLines w:val="0"/>
        <w:widowControl w:val="0"/>
        <w:suppressLineNumbers w:val="0"/>
        <w:spacing w:before="0" w:beforeAutospacing="0" w:after="0" w:afterAutospacing="0" w:line="380" w:lineRule="exact"/>
        <w:ind w:left="0" w:right="0" w:firstLine="5903" w:firstLineChars="2450"/>
        <w:jc w:val="both"/>
        <w:rPr>
          <w:rFonts w:hint="eastAsia" w:ascii="宋体" w:hAnsi="宋体" w:eastAsia="宋体" w:cs="宋体"/>
          <w:b/>
          <w:bCs w:val="0"/>
          <w:color w:val="000000"/>
          <w:kern w:val="2"/>
          <w:sz w:val="28"/>
          <w:szCs w:val="28"/>
          <w:u w:val="single"/>
          <w:lang w:val="en-US" w:eastAsia="zh-CN" w:bidi="ar"/>
        </w:rPr>
      </w:pPr>
      <w:r>
        <w:rPr>
          <w:rFonts w:hint="eastAsia" w:ascii="宋体" w:hAnsi="宋体" w:eastAsia="宋体" w:cs="宋体"/>
          <w:b/>
          <w:bCs w:val="0"/>
          <w:color w:val="000000"/>
          <w:kern w:val="2"/>
          <w:sz w:val="24"/>
          <w:szCs w:val="24"/>
          <w:lang w:val="en-US" w:eastAsia="zh-CN" w:bidi="ar"/>
        </w:rPr>
        <w:t>评委签名：</w:t>
      </w:r>
      <w:r>
        <w:rPr>
          <w:rFonts w:hint="eastAsia" w:ascii="宋体" w:hAnsi="宋体" w:eastAsia="宋体" w:cs="宋体"/>
          <w:b/>
          <w:bCs w:val="0"/>
          <w:color w:val="000000"/>
          <w:kern w:val="2"/>
          <w:sz w:val="24"/>
          <w:szCs w:val="24"/>
          <w:u w:val="single"/>
          <w:lang w:val="en-US" w:eastAsia="zh-CN" w:bidi="ar"/>
        </w:rPr>
        <w:t xml:space="preserve">      </w:t>
      </w:r>
      <w:r>
        <w:rPr>
          <w:rFonts w:hint="eastAsia" w:ascii="宋体" w:hAnsi="宋体" w:eastAsia="宋体" w:cs="宋体"/>
          <w:b/>
          <w:bCs w:val="0"/>
          <w:color w:val="000000"/>
          <w:kern w:val="2"/>
          <w:sz w:val="28"/>
          <w:szCs w:val="28"/>
          <w:u w:val="single"/>
          <w:lang w:val="en-US" w:eastAsia="zh-CN" w:bidi="ar"/>
        </w:rPr>
        <w:t xml:space="preserve">  </w:t>
      </w:r>
    </w:p>
    <w:tbl>
      <w:tblPr>
        <w:tblStyle w:val="12"/>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76"/>
        <w:gridCol w:w="1580"/>
        <w:gridCol w:w="753"/>
        <w:gridCol w:w="5413"/>
      </w:tblGrid>
      <w:tr w14:paraId="0B53E3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1" w:hRule="atLeast"/>
          <w:jc w:val="center"/>
        </w:trPr>
        <w:tc>
          <w:tcPr>
            <w:tcW w:w="455" w:type="pct"/>
            <w:tcBorders>
              <w:top w:val="single" w:color="auto" w:sz="12" w:space="0"/>
              <w:left w:val="single" w:color="auto" w:sz="12" w:space="0"/>
              <w:bottom w:val="single" w:color="auto" w:sz="6" w:space="0"/>
              <w:right w:val="single" w:color="auto" w:sz="6" w:space="0"/>
            </w:tcBorders>
            <w:noWrap w:val="0"/>
            <w:vAlign w:val="center"/>
          </w:tcPr>
          <w:p w14:paraId="2F2EAFFE">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序号</w:t>
            </w:r>
          </w:p>
        </w:tc>
        <w:tc>
          <w:tcPr>
            <w:tcW w:w="927" w:type="pct"/>
            <w:tcBorders>
              <w:top w:val="single" w:color="auto" w:sz="12" w:space="0"/>
              <w:left w:val="single" w:color="auto" w:sz="6" w:space="0"/>
              <w:bottom w:val="single" w:color="auto" w:sz="6" w:space="0"/>
              <w:right w:val="single" w:color="auto" w:sz="6" w:space="0"/>
            </w:tcBorders>
            <w:noWrap w:val="0"/>
            <w:vAlign w:val="center"/>
          </w:tcPr>
          <w:p w14:paraId="2929CE32">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评审项目</w:t>
            </w:r>
          </w:p>
        </w:tc>
        <w:tc>
          <w:tcPr>
            <w:tcW w:w="442" w:type="pct"/>
            <w:tcBorders>
              <w:top w:val="single" w:color="auto" w:sz="12" w:space="0"/>
              <w:left w:val="single" w:color="auto" w:sz="6" w:space="0"/>
              <w:bottom w:val="single" w:color="auto" w:sz="6" w:space="0"/>
              <w:right w:val="single" w:color="auto" w:sz="6" w:space="0"/>
            </w:tcBorders>
            <w:noWrap w:val="0"/>
            <w:vAlign w:val="center"/>
          </w:tcPr>
          <w:p w14:paraId="0CD7CCCD">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分值</w:t>
            </w:r>
          </w:p>
        </w:tc>
        <w:tc>
          <w:tcPr>
            <w:tcW w:w="3176" w:type="pct"/>
            <w:tcBorders>
              <w:top w:val="single" w:color="auto" w:sz="12" w:space="0"/>
              <w:left w:val="single" w:color="auto" w:sz="6" w:space="0"/>
              <w:bottom w:val="single" w:color="auto" w:sz="6" w:space="0"/>
              <w:right w:val="single" w:color="auto" w:sz="12" w:space="0"/>
            </w:tcBorders>
            <w:noWrap w:val="0"/>
            <w:vAlign w:val="center"/>
          </w:tcPr>
          <w:p w14:paraId="2CCE0D7E">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评审内容</w:t>
            </w:r>
          </w:p>
        </w:tc>
      </w:tr>
      <w:tr w14:paraId="1B5077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1" w:hRule="atLeast"/>
          <w:jc w:val="center"/>
        </w:trPr>
        <w:tc>
          <w:tcPr>
            <w:tcW w:w="455" w:type="pct"/>
            <w:tcBorders>
              <w:top w:val="single" w:color="auto" w:sz="6" w:space="0"/>
              <w:left w:val="single" w:color="auto" w:sz="12" w:space="0"/>
              <w:bottom w:val="single" w:color="auto" w:sz="6" w:space="0"/>
              <w:right w:val="single" w:color="auto" w:sz="6" w:space="0"/>
            </w:tcBorders>
            <w:noWrap w:val="0"/>
            <w:vAlign w:val="center"/>
          </w:tcPr>
          <w:p w14:paraId="3E1A232B">
            <w:pPr>
              <w:keepNext w:val="0"/>
              <w:keepLines w:val="0"/>
              <w:suppressLineNumbers w:val="0"/>
              <w:spacing w:before="0" w:beforeAutospacing="0" w:after="0" w:afterAutospacing="0" w:line="360" w:lineRule="auto"/>
              <w:ind w:left="0" w:right="0"/>
              <w:jc w:val="center"/>
              <w:rPr>
                <w:rFonts w:hint="eastAsia" w:ascii="宋体" w:hAnsi="宋体"/>
                <w:bCs/>
                <w:szCs w:val="21"/>
              </w:rPr>
            </w:pPr>
            <w:r>
              <w:rPr>
                <w:rFonts w:hint="eastAsia" w:ascii="宋体" w:hAnsi="宋体"/>
                <w:bCs/>
                <w:szCs w:val="21"/>
              </w:rPr>
              <w:t>1</w:t>
            </w:r>
          </w:p>
        </w:tc>
        <w:tc>
          <w:tcPr>
            <w:tcW w:w="927" w:type="pct"/>
            <w:tcBorders>
              <w:top w:val="single" w:color="auto" w:sz="6" w:space="0"/>
              <w:left w:val="single" w:color="auto" w:sz="6" w:space="0"/>
              <w:bottom w:val="single" w:color="auto" w:sz="6" w:space="0"/>
              <w:right w:val="single" w:color="auto" w:sz="6" w:space="0"/>
            </w:tcBorders>
            <w:noWrap w:val="0"/>
            <w:vAlign w:val="center"/>
          </w:tcPr>
          <w:p w14:paraId="6CECB6E2">
            <w:pPr>
              <w:keepNext w:val="0"/>
              <w:keepLines w:val="0"/>
              <w:suppressLineNumbers w:val="0"/>
              <w:spacing w:before="0" w:beforeAutospacing="0" w:after="0" w:afterAutospacing="0" w:line="360" w:lineRule="auto"/>
              <w:ind w:left="0" w:right="0"/>
              <w:jc w:val="center"/>
              <w:rPr>
                <w:rFonts w:hint="eastAsia" w:ascii="宋体" w:hAnsi="宋体"/>
                <w:bCs/>
                <w:szCs w:val="21"/>
              </w:rPr>
            </w:pPr>
            <w:r>
              <w:rPr>
                <w:rFonts w:hint="eastAsia" w:ascii="宋体" w:hAnsi="宋体"/>
                <w:szCs w:val="21"/>
              </w:rPr>
              <w:t>投标人</w:t>
            </w:r>
            <w:r>
              <w:rPr>
                <w:rFonts w:hint="eastAsia" w:ascii="宋体" w:hAnsi="宋体"/>
                <w:bCs/>
                <w:szCs w:val="21"/>
              </w:rPr>
              <w:t>实力</w:t>
            </w:r>
          </w:p>
        </w:tc>
        <w:tc>
          <w:tcPr>
            <w:tcW w:w="442" w:type="pct"/>
            <w:tcBorders>
              <w:top w:val="single" w:color="auto" w:sz="6" w:space="0"/>
              <w:left w:val="single" w:color="auto" w:sz="6" w:space="0"/>
              <w:bottom w:val="single" w:color="auto" w:sz="6" w:space="0"/>
              <w:right w:val="single" w:color="auto" w:sz="6" w:space="0"/>
            </w:tcBorders>
            <w:noWrap w:val="0"/>
            <w:vAlign w:val="center"/>
          </w:tcPr>
          <w:p w14:paraId="04853AC1">
            <w:pPr>
              <w:keepNext w:val="0"/>
              <w:keepLines w:val="0"/>
              <w:suppressLineNumbers w:val="0"/>
              <w:spacing w:before="0" w:beforeAutospacing="0" w:after="0" w:afterAutospacing="0" w:line="360" w:lineRule="auto"/>
              <w:ind w:left="0" w:right="0"/>
              <w:jc w:val="center"/>
              <w:rPr>
                <w:rFonts w:hint="eastAsia" w:ascii="宋体" w:hAnsi="宋体"/>
                <w:bCs/>
                <w:szCs w:val="21"/>
              </w:rPr>
            </w:pPr>
            <w:r>
              <w:rPr>
                <w:rFonts w:hint="eastAsia" w:ascii="宋体" w:hAnsi="宋体"/>
                <w:bCs/>
                <w:szCs w:val="21"/>
              </w:rPr>
              <w:t>6</w:t>
            </w:r>
          </w:p>
        </w:tc>
        <w:tc>
          <w:tcPr>
            <w:tcW w:w="3176" w:type="pct"/>
            <w:tcBorders>
              <w:top w:val="single" w:color="auto" w:sz="6" w:space="0"/>
              <w:left w:val="single" w:color="auto" w:sz="6" w:space="0"/>
              <w:bottom w:val="single" w:color="auto" w:sz="6" w:space="0"/>
              <w:right w:val="single" w:color="auto" w:sz="12" w:space="0"/>
            </w:tcBorders>
            <w:noWrap w:val="0"/>
            <w:vAlign w:val="center"/>
          </w:tcPr>
          <w:p w14:paraId="6476745A">
            <w:pPr>
              <w:keepNext w:val="0"/>
              <w:keepLines w:val="0"/>
              <w:widowControl/>
              <w:suppressLineNumbers w:val="0"/>
              <w:spacing w:before="0" w:beforeAutospacing="0" w:after="0" w:afterAutospacing="0" w:line="360" w:lineRule="auto"/>
              <w:ind w:left="0" w:right="0"/>
              <w:jc w:val="left"/>
              <w:rPr>
                <w:rFonts w:hint="eastAsia" w:ascii="宋体" w:hAnsi="宋体"/>
                <w:kern w:val="0"/>
                <w:szCs w:val="21"/>
              </w:rPr>
            </w:pPr>
            <w:r>
              <w:rPr>
                <w:rFonts w:hint="eastAsia" w:ascii="宋体" w:hAnsi="宋体"/>
                <w:szCs w:val="21"/>
              </w:rPr>
              <w:t>投标人具备以下</w:t>
            </w:r>
            <w:r>
              <w:rPr>
                <w:rFonts w:hint="eastAsia" w:ascii="宋体" w:hAnsi="宋体"/>
                <w:kern w:val="0"/>
                <w:szCs w:val="21"/>
              </w:rPr>
              <w:t>证书：</w:t>
            </w:r>
          </w:p>
          <w:p w14:paraId="05CA68D9">
            <w:pPr>
              <w:keepNext w:val="0"/>
              <w:keepLines w:val="0"/>
              <w:widowControl/>
              <w:suppressLineNumbers w:val="0"/>
              <w:spacing w:before="0" w:beforeAutospacing="0" w:after="0" w:afterAutospacing="0" w:line="360" w:lineRule="auto"/>
              <w:ind w:left="0" w:right="0"/>
              <w:jc w:val="left"/>
              <w:rPr>
                <w:rFonts w:hint="eastAsia" w:ascii="宋体" w:hAnsi="宋体"/>
                <w:kern w:val="0"/>
                <w:szCs w:val="21"/>
              </w:rPr>
            </w:pPr>
            <w:r>
              <w:rPr>
                <w:rFonts w:hint="eastAsia" w:ascii="宋体" w:hAnsi="宋体"/>
                <w:kern w:val="0"/>
                <w:szCs w:val="21"/>
              </w:rPr>
              <w:t>（1）</w:t>
            </w:r>
            <w:r>
              <w:rPr>
                <w:rFonts w:hint="eastAsia" w:ascii="宋体" w:hAnsi="宋体"/>
                <w:szCs w:val="21"/>
              </w:rPr>
              <w:t>质量管理体系认证证书</w:t>
            </w:r>
            <w:r>
              <w:rPr>
                <w:rFonts w:hint="eastAsia" w:ascii="宋体" w:hAnsi="宋体"/>
                <w:kern w:val="0"/>
                <w:szCs w:val="21"/>
              </w:rPr>
              <w:t>；</w:t>
            </w:r>
          </w:p>
          <w:p w14:paraId="78B86033">
            <w:pPr>
              <w:keepNext w:val="0"/>
              <w:keepLines w:val="0"/>
              <w:suppressLineNumbers w:val="0"/>
              <w:spacing w:before="0" w:beforeAutospacing="0" w:after="0" w:afterAutospacing="0" w:line="360" w:lineRule="auto"/>
              <w:ind w:left="0" w:right="0"/>
              <w:rPr>
                <w:rFonts w:hint="eastAsia" w:ascii="宋体" w:hAnsi="宋体"/>
                <w:szCs w:val="21"/>
              </w:rPr>
            </w:pPr>
            <w:r>
              <w:rPr>
                <w:rFonts w:hint="eastAsia" w:ascii="宋体" w:hAnsi="宋体"/>
                <w:szCs w:val="21"/>
              </w:rPr>
              <w:t>（2）环境管理体系认证证书；</w:t>
            </w:r>
          </w:p>
          <w:p w14:paraId="2EDF7CF6">
            <w:pPr>
              <w:keepNext w:val="0"/>
              <w:keepLines w:val="0"/>
              <w:suppressLineNumbers w:val="0"/>
              <w:spacing w:before="0" w:beforeAutospacing="0" w:after="0" w:afterAutospacing="0" w:line="360" w:lineRule="auto"/>
              <w:ind w:left="0" w:right="0"/>
              <w:rPr>
                <w:rFonts w:hint="default" w:ascii="宋体" w:hAnsi="宋体"/>
                <w:color w:val="000000"/>
                <w:szCs w:val="21"/>
              </w:rPr>
            </w:pPr>
            <w:r>
              <w:rPr>
                <w:rFonts w:hint="eastAsia" w:ascii="宋体" w:hAnsi="宋体"/>
                <w:color w:val="000000"/>
                <w:szCs w:val="21"/>
              </w:rPr>
              <w:t>（3）职业健康安全管理体系认证证书；</w:t>
            </w:r>
          </w:p>
          <w:p w14:paraId="72F73DB6">
            <w:pPr>
              <w:keepNext w:val="0"/>
              <w:keepLines w:val="0"/>
              <w:widowControl/>
              <w:suppressLineNumbers w:val="0"/>
              <w:spacing w:before="0" w:beforeAutospacing="0" w:after="0" w:afterAutospacing="0" w:line="360" w:lineRule="auto"/>
              <w:ind w:left="0" w:right="0"/>
              <w:jc w:val="left"/>
              <w:rPr>
                <w:rFonts w:hint="eastAsia" w:ascii="宋体" w:hAnsi="宋体"/>
                <w:szCs w:val="21"/>
              </w:rPr>
            </w:pPr>
            <w:r>
              <w:rPr>
                <w:rFonts w:hint="eastAsia" w:ascii="宋体" w:hAnsi="宋体"/>
                <w:bCs/>
                <w:kern w:val="0"/>
                <w:szCs w:val="21"/>
              </w:rPr>
              <w:t>注：以上证书须在有效期内，提供证书等证明材料复印件。每提供一份得2分，</w:t>
            </w:r>
            <w:r>
              <w:rPr>
                <w:rFonts w:hint="eastAsia" w:ascii="宋体" w:hAnsi="宋体"/>
                <w:szCs w:val="21"/>
              </w:rPr>
              <w:t>最高得</w:t>
            </w:r>
            <w:r>
              <w:rPr>
                <w:rFonts w:hint="eastAsia" w:ascii="宋体" w:hAnsi="宋体"/>
                <w:bCs/>
                <w:kern w:val="0"/>
                <w:szCs w:val="21"/>
              </w:rPr>
              <w:t>6分（需提供证书复印件加盖投标人公章）。</w:t>
            </w:r>
          </w:p>
        </w:tc>
      </w:tr>
      <w:tr w14:paraId="0D712A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89" w:hRule="atLeast"/>
          <w:jc w:val="center"/>
        </w:trPr>
        <w:tc>
          <w:tcPr>
            <w:tcW w:w="455" w:type="pct"/>
            <w:tcBorders>
              <w:top w:val="single" w:color="auto" w:sz="6" w:space="0"/>
              <w:left w:val="single" w:color="auto" w:sz="12" w:space="0"/>
              <w:bottom w:val="single" w:color="auto" w:sz="6" w:space="0"/>
              <w:right w:val="single" w:color="auto" w:sz="6" w:space="0"/>
            </w:tcBorders>
            <w:noWrap w:val="0"/>
            <w:vAlign w:val="center"/>
          </w:tcPr>
          <w:p w14:paraId="5A7B3AB4">
            <w:pPr>
              <w:keepNext w:val="0"/>
              <w:keepLines w:val="0"/>
              <w:suppressLineNumbers w:val="0"/>
              <w:spacing w:before="0" w:beforeAutospacing="0" w:after="0" w:afterAutospacing="0" w:line="360" w:lineRule="auto"/>
              <w:ind w:left="0" w:right="0"/>
              <w:jc w:val="center"/>
              <w:rPr>
                <w:rFonts w:hint="eastAsia" w:ascii="宋体" w:hAnsi="宋体"/>
                <w:bCs/>
                <w:szCs w:val="21"/>
              </w:rPr>
            </w:pPr>
            <w:r>
              <w:rPr>
                <w:rFonts w:hint="eastAsia" w:ascii="宋体" w:hAnsi="宋体"/>
                <w:bCs/>
                <w:szCs w:val="21"/>
              </w:rPr>
              <w:t>2</w:t>
            </w:r>
          </w:p>
        </w:tc>
        <w:tc>
          <w:tcPr>
            <w:tcW w:w="927" w:type="pct"/>
            <w:tcBorders>
              <w:top w:val="single" w:color="auto" w:sz="6" w:space="0"/>
              <w:left w:val="single" w:color="auto" w:sz="6" w:space="0"/>
              <w:bottom w:val="single" w:color="auto" w:sz="6" w:space="0"/>
              <w:right w:val="single" w:color="auto" w:sz="6" w:space="0"/>
            </w:tcBorders>
            <w:noWrap w:val="0"/>
            <w:vAlign w:val="center"/>
          </w:tcPr>
          <w:p w14:paraId="51E4C445">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项目业绩</w:t>
            </w:r>
          </w:p>
        </w:tc>
        <w:tc>
          <w:tcPr>
            <w:tcW w:w="442" w:type="pct"/>
            <w:tcBorders>
              <w:top w:val="single" w:color="auto" w:sz="6" w:space="0"/>
              <w:left w:val="single" w:color="auto" w:sz="6" w:space="0"/>
              <w:bottom w:val="single" w:color="auto" w:sz="6" w:space="0"/>
              <w:right w:val="single" w:color="auto" w:sz="6" w:space="0"/>
            </w:tcBorders>
            <w:noWrap w:val="0"/>
            <w:vAlign w:val="center"/>
          </w:tcPr>
          <w:p w14:paraId="39A6CBA3">
            <w:pPr>
              <w:keepNext w:val="0"/>
              <w:keepLines w:val="0"/>
              <w:suppressLineNumbers w:val="0"/>
              <w:spacing w:before="0" w:beforeAutospacing="0" w:after="0" w:afterAutospacing="0" w:line="360" w:lineRule="auto"/>
              <w:ind w:left="0" w:right="0"/>
              <w:jc w:val="center"/>
              <w:rPr>
                <w:rFonts w:hint="eastAsia" w:ascii="宋体" w:hAnsi="宋体"/>
                <w:bCs/>
                <w:szCs w:val="21"/>
              </w:rPr>
            </w:pPr>
            <w:r>
              <w:rPr>
                <w:rFonts w:hint="eastAsia" w:ascii="宋体" w:hAnsi="宋体"/>
                <w:bCs/>
                <w:szCs w:val="21"/>
                <w:lang w:eastAsia="zh"/>
                <w:woUserID w:val="2"/>
              </w:rPr>
              <w:t>20</w:t>
            </w:r>
          </w:p>
        </w:tc>
        <w:tc>
          <w:tcPr>
            <w:tcW w:w="3176" w:type="pct"/>
            <w:tcBorders>
              <w:top w:val="single" w:color="auto" w:sz="6" w:space="0"/>
              <w:left w:val="single" w:color="auto" w:sz="6" w:space="0"/>
              <w:bottom w:val="single" w:color="auto" w:sz="6" w:space="0"/>
              <w:right w:val="single" w:color="auto" w:sz="12" w:space="0"/>
            </w:tcBorders>
            <w:noWrap w:val="0"/>
            <w:vAlign w:val="center"/>
          </w:tcPr>
          <w:p w14:paraId="2AA71D5B">
            <w:pPr>
              <w:keepNext w:val="0"/>
              <w:keepLines w:val="0"/>
              <w:widowControl/>
              <w:suppressLineNumbers w:val="0"/>
              <w:spacing w:before="0" w:beforeAutospacing="0" w:after="0" w:afterAutospacing="0" w:line="360" w:lineRule="auto"/>
              <w:ind w:left="0" w:right="0"/>
              <w:jc w:val="left"/>
              <w:rPr>
                <w:rFonts w:hint="eastAsia" w:ascii="宋体" w:hAnsi="宋体"/>
                <w:szCs w:val="21"/>
              </w:rPr>
            </w:pPr>
            <w:r>
              <w:rPr>
                <w:rFonts w:hint="eastAsia" w:ascii="宋体" w:hAnsi="宋体"/>
                <w:szCs w:val="21"/>
              </w:rPr>
              <w:t>根据投标人自2022年1月1日至今（时间以合同签订日期为准）同类项目业绩情况进行打分：每提供一项得2分，最高得</w:t>
            </w:r>
            <w:r>
              <w:rPr>
                <w:rFonts w:hint="eastAsia" w:ascii="宋体" w:hAnsi="宋体"/>
                <w:szCs w:val="21"/>
                <w:lang w:eastAsia="zh"/>
                <w:woUserID w:val="2"/>
              </w:rPr>
              <w:t>20</w:t>
            </w:r>
            <w:r>
              <w:rPr>
                <w:rFonts w:hint="eastAsia" w:ascii="宋体" w:hAnsi="宋体"/>
                <w:szCs w:val="21"/>
              </w:rPr>
              <w:t>分。</w:t>
            </w:r>
          </w:p>
          <w:p w14:paraId="307302D0">
            <w:pPr>
              <w:keepNext w:val="0"/>
              <w:keepLines w:val="0"/>
              <w:widowControl/>
              <w:suppressLineNumbers w:val="0"/>
              <w:spacing w:before="0" w:beforeAutospacing="0" w:after="0" w:afterAutospacing="0" w:line="360" w:lineRule="auto"/>
              <w:ind w:left="0" w:right="0"/>
              <w:jc w:val="left"/>
              <w:rPr>
                <w:rFonts w:hint="eastAsia" w:ascii="宋体" w:hAnsi="宋体"/>
                <w:bCs/>
                <w:szCs w:val="21"/>
              </w:rPr>
            </w:pPr>
            <w:r>
              <w:rPr>
                <w:rFonts w:hint="eastAsia" w:ascii="宋体" w:hAnsi="宋体"/>
                <w:szCs w:val="21"/>
              </w:rPr>
              <w:t>注：须提供合同关键页复印件，合同关键页必须有用户单位名称、合同项目名称、合同标的主要采购内容、签订合同双方的落款盖章、合同签订日期，不提供或专家无法认定的不得分。</w:t>
            </w:r>
          </w:p>
        </w:tc>
      </w:tr>
      <w:tr w14:paraId="37C81B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455" w:type="pct"/>
            <w:tcBorders>
              <w:top w:val="single" w:color="auto" w:sz="6" w:space="0"/>
              <w:left w:val="single" w:color="auto" w:sz="12" w:space="0"/>
              <w:bottom w:val="single" w:color="auto" w:sz="6" w:space="0"/>
              <w:right w:val="single" w:color="auto" w:sz="6" w:space="0"/>
            </w:tcBorders>
            <w:noWrap w:val="0"/>
            <w:vAlign w:val="center"/>
          </w:tcPr>
          <w:p w14:paraId="1142EF87">
            <w:pPr>
              <w:keepNext w:val="0"/>
              <w:keepLines w:val="0"/>
              <w:suppressLineNumbers w:val="0"/>
              <w:spacing w:before="0" w:beforeAutospacing="0" w:after="0" w:afterAutospacing="0" w:line="360" w:lineRule="auto"/>
              <w:ind w:left="0" w:right="0"/>
              <w:jc w:val="center"/>
              <w:rPr>
                <w:rFonts w:hint="eastAsia" w:ascii="宋体" w:hAnsi="宋体"/>
                <w:bCs/>
                <w:szCs w:val="21"/>
              </w:rPr>
            </w:pPr>
            <w:r>
              <w:rPr>
                <w:rFonts w:hint="eastAsia" w:ascii="宋体" w:hAnsi="宋体"/>
                <w:bCs/>
                <w:szCs w:val="21"/>
              </w:rPr>
              <w:t>3</w:t>
            </w:r>
          </w:p>
        </w:tc>
        <w:tc>
          <w:tcPr>
            <w:tcW w:w="927" w:type="pct"/>
            <w:tcBorders>
              <w:top w:val="single" w:color="auto" w:sz="6" w:space="0"/>
              <w:left w:val="single" w:color="auto" w:sz="6" w:space="0"/>
              <w:bottom w:val="single" w:color="auto" w:sz="6" w:space="0"/>
              <w:right w:val="single" w:color="auto" w:sz="6" w:space="0"/>
            </w:tcBorders>
            <w:noWrap w:val="0"/>
            <w:vAlign w:val="center"/>
          </w:tcPr>
          <w:p w14:paraId="4C228FC9">
            <w:pPr>
              <w:keepNext w:val="0"/>
              <w:keepLines w:val="0"/>
              <w:suppressLineNumbers w:val="0"/>
              <w:spacing w:before="0" w:beforeAutospacing="0" w:after="0" w:afterAutospacing="0" w:line="360" w:lineRule="auto"/>
              <w:ind w:left="0" w:right="0"/>
              <w:jc w:val="center"/>
              <w:rPr>
                <w:rFonts w:hint="eastAsia" w:ascii="宋体" w:hAnsi="宋体"/>
                <w:bCs/>
                <w:szCs w:val="21"/>
              </w:rPr>
            </w:pPr>
            <w:r>
              <w:rPr>
                <w:rFonts w:hint="eastAsia" w:ascii="宋体" w:hAnsi="宋体"/>
                <w:szCs w:val="21"/>
              </w:rPr>
              <w:t>人员配置</w:t>
            </w:r>
          </w:p>
        </w:tc>
        <w:tc>
          <w:tcPr>
            <w:tcW w:w="442" w:type="pct"/>
            <w:tcBorders>
              <w:top w:val="single" w:color="auto" w:sz="6" w:space="0"/>
              <w:left w:val="single" w:color="auto" w:sz="6" w:space="0"/>
              <w:bottom w:val="single" w:color="auto" w:sz="6" w:space="0"/>
              <w:right w:val="single" w:color="auto" w:sz="6" w:space="0"/>
            </w:tcBorders>
            <w:noWrap w:val="0"/>
            <w:vAlign w:val="center"/>
          </w:tcPr>
          <w:p w14:paraId="2E769C24">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bCs/>
                <w:szCs w:val="21"/>
                <w:lang w:eastAsia="zh"/>
                <w:woUserID w:val="2"/>
              </w:rPr>
              <w:t>4</w:t>
            </w:r>
          </w:p>
        </w:tc>
        <w:tc>
          <w:tcPr>
            <w:tcW w:w="3176" w:type="pct"/>
            <w:tcBorders>
              <w:top w:val="single" w:color="auto" w:sz="6" w:space="0"/>
              <w:left w:val="single" w:color="auto" w:sz="6" w:space="0"/>
              <w:bottom w:val="single" w:color="auto" w:sz="6" w:space="0"/>
              <w:right w:val="single" w:color="auto" w:sz="12" w:space="0"/>
            </w:tcBorders>
            <w:noWrap w:val="0"/>
            <w:vAlign w:val="bottom"/>
          </w:tcPr>
          <w:p w14:paraId="0FEF4FB0">
            <w:pPr>
              <w:keepNext w:val="0"/>
              <w:keepLines w:val="0"/>
              <w:suppressLineNumbers w:val="0"/>
              <w:snapToGrid w:val="0"/>
              <w:spacing w:before="0" w:beforeAutospacing="0" w:after="0" w:afterAutospacing="0" w:line="360" w:lineRule="auto"/>
              <w:ind w:left="0" w:right="0"/>
              <w:jc w:val="left"/>
              <w:rPr>
                <w:rFonts w:hint="eastAsia" w:ascii="宋体" w:hAnsi="宋体"/>
                <w:szCs w:val="21"/>
              </w:rPr>
            </w:pPr>
            <w:r>
              <w:rPr>
                <w:rFonts w:hint="eastAsia" w:ascii="宋体" w:hAnsi="宋体"/>
                <w:szCs w:val="21"/>
              </w:rPr>
              <w:t>为本项目投入的（除项目负责人、安全员外）施工员、质量员、材料员、资料员，按要求一个人员配备得</w:t>
            </w:r>
            <w:r>
              <w:rPr>
                <w:rFonts w:hint="eastAsia" w:ascii="宋体" w:hAnsi="宋体"/>
                <w:szCs w:val="21"/>
                <w:lang w:eastAsia="zh"/>
                <w:woUserID w:val="2"/>
              </w:rPr>
              <w:t>1</w:t>
            </w:r>
            <w:r>
              <w:rPr>
                <w:rFonts w:hint="eastAsia" w:ascii="宋体" w:hAnsi="宋体"/>
                <w:szCs w:val="21"/>
              </w:rPr>
              <w:t>分，同一人获得多个证书不重复计分，最多得</w:t>
            </w:r>
            <w:r>
              <w:rPr>
                <w:rFonts w:hint="eastAsia" w:ascii="宋体" w:hAnsi="宋体"/>
                <w:szCs w:val="21"/>
                <w:lang w:eastAsia="zh"/>
                <w:woUserID w:val="2"/>
              </w:rPr>
              <w:t>4</w:t>
            </w:r>
            <w:r>
              <w:rPr>
                <w:rFonts w:hint="eastAsia" w:ascii="宋体" w:hAnsi="宋体"/>
                <w:szCs w:val="21"/>
              </w:rPr>
              <w:t>分。（提供相关证书复印件及响应供应商为其购买的近三个月内任意一个月的社保证明文件复印件加盖公章，不提供不得分）</w:t>
            </w:r>
          </w:p>
        </w:tc>
      </w:tr>
      <w:tr w14:paraId="7C02F0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5000" w:type="pct"/>
            <w:gridSpan w:val="4"/>
            <w:tcBorders>
              <w:top w:val="single" w:color="auto" w:sz="6" w:space="0"/>
              <w:left w:val="single" w:color="auto" w:sz="12" w:space="0"/>
              <w:bottom w:val="single" w:color="auto" w:sz="12" w:space="0"/>
              <w:right w:val="single" w:color="auto" w:sz="12" w:space="0"/>
            </w:tcBorders>
            <w:noWrap w:val="0"/>
            <w:vAlign w:val="center"/>
          </w:tcPr>
          <w:p w14:paraId="539B4013">
            <w:pPr>
              <w:keepNext w:val="0"/>
              <w:keepLines w:val="0"/>
              <w:suppressLineNumbers w:val="0"/>
              <w:spacing w:before="0" w:beforeAutospacing="0" w:after="0" w:afterAutospacing="0" w:line="360" w:lineRule="auto"/>
              <w:ind w:left="0" w:right="0"/>
              <w:jc w:val="center"/>
              <w:rPr>
                <w:rFonts w:hint="eastAsia" w:ascii="宋体" w:hAnsi="宋体"/>
                <w:bCs/>
                <w:szCs w:val="21"/>
              </w:rPr>
            </w:pPr>
            <w:r>
              <w:rPr>
                <w:rFonts w:hint="eastAsia" w:ascii="宋体" w:hAnsi="宋体"/>
                <w:bCs/>
                <w:szCs w:val="21"/>
              </w:rPr>
              <w:t>合计：</w:t>
            </w:r>
            <w:r>
              <w:rPr>
                <w:rFonts w:hint="eastAsia" w:ascii="宋体" w:hAnsi="宋体"/>
                <w:bCs/>
                <w:szCs w:val="21"/>
                <w:lang w:eastAsia="zh"/>
                <w:woUserID w:val="2"/>
              </w:rPr>
              <w:t>3</w:t>
            </w:r>
            <w:r>
              <w:rPr>
                <w:rFonts w:hint="eastAsia" w:ascii="宋体" w:hAnsi="宋体"/>
                <w:bCs/>
                <w:szCs w:val="21"/>
              </w:rPr>
              <w:t>0分</w:t>
            </w:r>
          </w:p>
        </w:tc>
      </w:tr>
    </w:tbl>
    <w:p w14:paraId="7BEF84A3">
      <w:pPr>
        <w:keepNext w:val="0"/>
        <w:keepLines w:val="0"/>
        <w:widowControl w:val="0"/>
        <w:suppressLineNumbers w:val="0"/>
        <w:spacing w:before="0" w:beforeAutospacing="0" w:after="0" w:afterAutospacing="0" w:line="380" w:lineRule="exact"/>
        <w:ind w:left="0" w:right="0" w:firstLine="6887" w:firstLineChars="2450"/>
        <w:jc w:val="both"/>
        <w:rPr>
          <w:rFonts w:hint="default" w:ascii="宋体" w:hAnsi="宋体" w:eastAsia="宋体" w:cs="宋体"/>
          <w:b/>
          <w:bCs w:val="0"/>
          <w:color w:val="000000"/>
          <w:kern w:val="2"/>
          <w:sz w:val="28"/>
          <w:szCs w:val="28"/>
          <w:u w:val="single"/>
          <w:lang w:val="en-US" w:eastAsia="zh-CN" w:bidi="ar"/>
        </w:rPr>
      </w:pPr>
    </w:p>
    <w:p w14:paraId="335E2BE0">
      <w:pPr>
        <w:pStyle w:val="5"/>
        <w:keepNext w:val="0"/>
        <w:keepLines w:val="0"/>
        <w:widowControl/>
        <w:suppressLineNumbers w:val="0"/>
        <w:spacing w:beforeLines="0" w:beforeAutospacing="0" w:after="0" w:afterAutospacing="1"/>
        <w:ind w:left="0" w:right="0"/>
        <w:rPr>
          <w:rFonts w:hint="default" w:ascii="Arial" w:hAnsi="Arial" w:eastAsia="宋体" w:cs="Times New Roman"/>
          <w:kern w:val="2"/>
          <w:sz w:val="24"/>
          <w:szCs w:val="24"/>
        </w:rPr>
      </w:pPr>
      <w:r>
        <w:rPr>
          <w:rFonts w:hint="default" w:ascii="Arial" w:hAnsi="Arial" w:eastAsia="宋体" w:cs="Times New Roman"/>
          <w:kern w:val="2"/>
          <w:sz w:val="24"/>
          <w:szCs w:val="24"/>
        </w:rPr>
        <w:t xml:space="preserve"> </w:t>
      </w:r>
    </w:p>
    <w:p w14:paraId="2741166C">
      <w:pPr>
        <w:pStyle w:val="11"/>
        <w:keepNext w:val="0"/>
        <w:keepLines w:val="0"/>
        <w:widowControl/>
        <w:suppressLineNumbers w:val="0"/>
        <w:spacing w:before="0" w:beforeAutospacing="0" w:after="0" w:afterAutospacing="0"/>
        <w:ind w:left="0" w:right="0" w:firstLine="210" w:firstLineChars="1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注：1、评委按分项的规定分数范围内给各响应供应商进行打分，并统计总分</w:t>
      </w:r>
    </w:p>
    <w:p w14:paraId="5EB3D511">
      <w:pPr>
        <w:pStyle w:val="11"/>
        <w:keepNext w:val="0"/>
        <w:keepLines w:val="0"/>
        <w:widowControl/>
        <w:suppressLineNumbers w:val="0"/>
        <w:spacing w:before="0" w:beforeAutospacing="0" w:after="0" w:afterAutospacing="0"/>
        <w:ind w:left="0" w:right="0" w:firstLine="210" w:firstLineChars="1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AFFBA36">
      <w:pPr>
        <w:pStyle w:val="11"/>
        <w:keepNext w:val="0"/>
        <w:keepLines w:val="0"/>
        <w:widowControl/>
        <w:suppressLineNumbers w:val="0"/>
        <w:spacing w:before="0" w:beforeAutospacing="0" w:after="0" w:afterAutospacing="0"/>
        <w:ind w:left="0" w:right="0" w:firstLine="210" w:firstLineChars="1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A75FD14"/>
    <w:p w14:paraId="1B039C8A">
      <w:pPr>
        <w:keepNext w:val="0"/>
        <w:keepLines w:val="0"/>
        <w:widowControl w:val="0"/>
        <w:suppressLineNumbers w:val="0"/>
        <w:spacing w:before="0" w:beforeAutospacing="0" w:after="0" w:afterAutospacing="0"/>
        <w:ind w:left="0" w:right="0"/>
        <w:jc w:val="both"/>
        <w:rPr>
          <w:rFonts w:hint="eastAsia" w:ascii="宋体" w:hAnsi="宋体" w:eastAsia="宋体" w:cs="宋体"/>
          <w:b/>
          <w:bCs w:val="0"/>
          <w:kern w:val="2"/>
          <w:sz w:val="28"/>
          <w:szCs w:val="28"/>
        </w:rPr>
      </w:pPr>
      <w:r>
        <w:rPr>
          <w:rFonts w:hint="eastAsia" w:ascii="宋体" w:hAnsi="宋体" w:eastAsia="宋体" w:cs="宋体"/>
          <w:b/>
          <w:bCs w:val="0"/>
          <w:kern w:val="2"/>
          <w:sz w:val="32"/>
          <w:szCs w:val="32"/>
          <w:lang w:val="en-US" w:eastAsia="zh-CN" w:bidi="ar"/>
        </w:rPr>
        <w:t>第五部分 合同书格式</w:t>
      </w:r>
    </w:p>
    <w:p w14:paraId="2B8324FB">
      <w:pPr>
        <w:pStyle w:val="8"/>
        <w:keepNext w:val="0"/>
        <w:keepLines w:val="0"/>
        <w:widowControl/>
        <w:suppressLineNumbers w:val="0"/>
        <w:spacing w:line="360" w:lineRule="auto"/>
        <w:jc w:val="center"/>
        <w:rPr>
          <w:rFonts w:hint="eastAsia" w:ascii="宋体" w:hAnsi="宋体" w:eastAsia="宋体" w:cs="宋体"/>
          <w:b/>
          <w:bCs/>
          <w:kern w:val="2"/>
          <w:sz w:val="28"/>
          <w:szCs w:val="28"/>
        </w:rPr>
      </w:pPr>
      <w:r>
        <w:rPr>
          <w:rFonts w:hint="eastAsia" w:ascii="宋体" w:hAnsi="宋体" w:eastAsia="宋体" w:cs="宋体"/>
          <w:b/>
          <w:bCs/>
          <w:kern w:val="2"/>
          <w:sz w:val="28"/>
          <w:szCs w:val="28"/>
        </w:rPr>
        <w:t>采购合同</w:t>
      </w:r>
    </w:p>
    <w:p w14:paraId="63AD44A6">
      <w:pPr>
        <w:pStyle w:val="8"/>
        <w:keepNext w:val="0"/>
        <w:keepLines w:val="0"/>
        <w:widowControl/>
        <w:suppressLineNumbers w:val="0"/>
        <w:spacing w:line="360" w:lineRule="auto"/>
        <w:jc w:val="center"/>
        <w:rPr>
          <w:rFonts w:hint="eastAsia" w:ascii="宋体" w:hAnsi="宋体" w:eastAsia="宋体" w:cs="宋体"/>
          <w:b/>
          <w:bCs/>
          <w:kern w:val="2"/>
          <w:sz w:val="28"/>
          <w:szCs w:val="28"/>
        </w:rPr>
      </w:pPr>
      <w:r>
        <w:rPr>
          <w:rFonts w:hint="eastAsia" w:ascii="宋体" w:hAnsi="宋体" w:eastAsia="宋体" w:cs="宋体"/>
          <w:kern w:val="2"/>
          <w:sz w:val="21"/>
          <w:szCs w:val="21"/>
        </w:rPr>
        <w:t xml:space="preserve">                                               </w:t>
      </w:r>
    </w:p>
    <w:p w14:paraId="7DA5099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甲方（采购人）：</w:t>
      </w:r>
    </w:p>
    <w:p w14:paraId="65CEBE1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乙方（成交供应商）：</w:t>
      </w:r>
    </w:p>
    <w:p w14:paraId="6DCA7D3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根据《中华人民共和国合同法》及广州美术学院综合档案室气体灭火消防系统建设项目（三次）招标文件的要求和招标结果，经甲乙双方协商一致，签订本合同。双方共同遵守如下条款（其他有关合同项目的特定信息由合同附件予以说明，合同附件及本项目的招标文件、投标文件等均为本合同不可分割之一部分）：</w:t>
      </w:r>
    </w:p>
    <w:p w14:paraId="0E6F8934">
      <w:pPr>
        <w:keepNext w:val="0"/>
        <w:keepLines w:val="0"/>
        <w:widowControl/>
        <w:numPr>
          <w:ilvl w:val="0"/>
          <w:numId w:val="4"/>
        </w:numPr>
        <w:suppressLineNumbers w:val="0"/>
        <w:spacing w:before="0" w:beforeAutospacing="0" w:after="0" w:afterAutospacing="0" w:line="360" w:lineRule="auto"/>
        <w:ind w:left="567" w:right="0" w:hanging="567"/>
        <w:jc w:val="left"/>
        <w:outlineLvl w:val="2"/>
        <w:rPr>
          <w:rFonts w:hint="eastAsia" w:ascii="宋体" w:hAnsi="宋体" w:eastAsia="宋体" w:cs="宋体"/>
          <w:b/>
          <w:bCs w:val="0"/>
          <w:kern w:val="2"/>
          <w:sz w:val="21"/>
          <w:szCs w:val="21"/>
        </w:rPr>
      </w:pPr>
      <w:r>
        <w:rPr>
          <w:rFonts w:hint="eastAsia" w:ascii="宋体" w:hAnsi="宋体" w:eastAsia="宋体" w:cs="宋体"/>
          <w:b/>
          <w:bCs w:val="0"/>
          <w:kern w:val="2"/>
          <w:sz w:val="21"/>
          <w:szCs w:val="21"/>
          <w:lang w:val="en-US" w:eastAsia="zh-CN" w:bidi="ar"/>
        </w:rPr>
        <w:t>合同标的</w:t>
      </w:r>
    </w:p>
    <w:p w14:paraId="7A285D6F">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乙方受甲方委托，作为广州美术学院综合档案室气体灭火消防系统建设项目（三次）</w:t>
      </w:r>
      <w:r>
        <w:rPr>
          <w:rFonts w:hint="eastAsia" w:ascii="宋体" w:hAnsi="宋体" w:eastAsia="宋体" w:cs="宋体"/>
          <w:bCs/>
          <w:kern w:val="2"/>
          <w:sz w:val="21"/>
          <w:szCs w:val="21"/>
          <w:lang w:val="en-US" w:eastAsia="zh-CN" w:bidi="ar"/>
        </w:rPr>
        <w:t>的服务单位</w:t>
      </w:r>
      <w:r>
        <w:rPr>
          <w:rFonts w:hint="eastAsia" w:ascii="宋体" w:hAnsi="宋体" w:eastAsia="宋体" w:cs="宋体"/>
          <w:kern w:val="2"/>
          <w:sz w:val="21"/>
          <w:szCs w:val="21"/>
          <w:lang w:val="en-US" w:eastAsia="zh-CN" w:bidi="ar"/>
        </w:rPr>
        <w:t>。</w:t>
      </w:r>
    </w:p>
    <w:p w14:paraId="48E00F0A">
      <w:pPr>
        <w:keepNext w:val="0"/>
        <w:keepLines w:val="0"/>
        <w:widowControl/>
        <w:numPr>
          <w:ilvl w:val="0"/>
          <w:numId w:val="4"/>
        </w:numPr>
        <w:suppressLineNumbers w:val="0"/>
        <w:spacing w:before="0" w:beforeAutospacing="0" w:after="0" w:afterAutospacing="0" w:line="360" w:lineRule="auto"/>
        <w:ind w:left="567" w:right="0" w:hanging="567"/>
        <w:jc w:val="left"/>
        <w:outlineLvl w:val="2"/>
        <w:rPr>
          <w:rFonts w:hint="eastAsia" w:ascii="宋体" w:hAnsi="宋体" w:eastAsia="宋体" w:cs="宋体"/>
          <w:b/>
          <w:bCs w:val="0"/>
          <w:kern w:val="2"/>
          <w:sz w:val="21"/>
          <w:szCs w:val="21"/>
        </w:rPr>
      </w:pPr>
      <w:r>
        <w:rPr>
          <w:rFonts w:hint="eastAsia" w:ascii="宋体" w:hAnsi="宋体" w:eastAsia="宋体" w:cs="宋体"/>
          <w:b/>
          <w:bCs w:val="0"/>
          <w:kern w:val="2"/>
          <w:sz w:val="21"/>
          <w:szCs w:val="21"/>
          <w:lang w:val="en-US" w:eastAsia="zh-CN" w:bidi="ar"/>
        </w:rPr>
        <w:t>合同总价</w:t>
      </w:r>
    </w:p>
    <w:p w14:paraId="267EDFB3">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成交总价为人民币</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元，大写</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 xml:space="preserve"> 。</w:t>
      </w:r>
    </w:p>
    <w:p w14:paraId="57534CF1">
      <w:pPr>
        <w:keepNext w:val="0"/>
        <w:keepLines w:val="0"/>
        <w:widowControl/>
        <w:numPr>
          <w:ilvl w:val="0"/>
          <w:numId w:val="4"/>
        </w:numPr>
        <w:suppressLineNumbers w:val="0"/>
        <w:spacing w:before="0" w:beforeAutospacing="0" w:after="0" w:afterAutospacing="0" w:line="360" w:lineRule="auto"/>
        <w:ind w:left="567" w:right="0" w:hanging="567"/>
        <w:jc w:val="left"/>
        <w:outlineLvl w:val="2"/>
        <w:rPr>
          <w:rFonts w:hint="eastAsia" w:ascii="宋体" w:hAnsi="宋体" w:eastAsia="宋体" w:cs="宋体"/>
          <w:b/>
          <w:bCs w:val="0"/>
          <w:kern w:val="2"/>
          <w:sz w:val="21"/>
          <w:szCs w:val="21"/>
        </w:rPr>
      </w:pPr>
      <w:r>
        <w:rPr>
          <w:rFonts w:hint="eastAsia" w:ascii="宋体" w:hAnsi="宋体" w:eastAsia="宋体" w:cs="宋体"/>
          <w:b/>
          <w:bCs w:val="0"/>
          <w:kern w:val="2"/>
          <w:sz w:val="21"/>
          <w:szCs w:val="21"/>
          <w:lang w:val="en-US" w:eastAsia="zh-CN" w:bidi="ar"/>
        </w:rPr>
        <w:t>服务期限</w:t>
      </w:r>
    </w:p>
    <w:p w14:paraId="3F6D94DD">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自20</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年</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月</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日起至20</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年</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月</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日止。</w:t>
      </w:r>
    </w:p>
    <w:p w14:paraId="7D95E7DB">
      <w:pPr>
        <w:keepNext w:val="0"/>
        <w:keepLines w:val="0"/>
        <w:widowControl/>
        <w:numPr>
          <w:ilvl w:val="0"/>
          <w:numId w:val="4"/>
        </w:numPr>
        <w:suppressLineNumbers w:val="0"/>
        <w:spacing w:before="0" w:beforeAutospacing="0" w:after="0" w:afterAutospacing="0" w:line="360" w:lineRule="auto"/>
        <w:ind w:left="567" w:right="0" w:hanging="567"/>
        <w:jc w:val="left"/>
        <w:outlineLvl w:val="2"/>
        <w:rPr>
          <w:rFonts w:hint="eastAsia" w:ascii="宋体" w:hAnsi="宋体" w:eastAsia="宋体" w:cs="宋体"/>
          <w:b/>
          <w:bCs w:val="0"/>
          <w:kern w:val="2"/>
          <w:sz w:val="21"/>
          <w:szCs w:val="21"/>
        </w:rPr>
      </w:pPr>
      <w:r>
        <w:rPr>
          <w:rFonts w:hint="eastAsia" w:ascii="宋体" w:hAnsi="宋体" w:eastAsia="宋体" w:cs="宋体"/>
          <w:b/>
          <w:bCs w:val="0"/>
          <w:kern w:val="2"/>
          <w:sz w:val="21"/>
          <w:szCs w:val="21"/>
          <w:lang w:val="en-US" w:eastAsia="zh-CN" w:bidi="ar"/>
        </w:rPr>
        <w:t>甲方乙方的权利和义务</w:t>
      </w:r>
    </w:p>
    <w:p w14:paraId="2B1CC935">
      <w:pPr>
        <w:keepNext w:val="0"/>
        <w:keepLines w:val="0"/>
        <w:widowControl w:val="0"/>
        <w:suppressLineNumbers w:val="0"/>
        <w:spacing w:before="0" w:beforeAutospacing="0" w:after="0" w:afterAutospacing="0" w:line="360" w:lineRule="auto"/>
        <w:ind w:left="0" w:right="0" w:firstLine="210" w:firstLineChars="10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（一）甲方的权利和义务：</w:t>
      </w:r>
    </w:p>
    <w:p w14:paraId="0E3F1FEF">
      <w:pPr>
        <w:keepNext w:val="0"/>
        <w:keepLines w:val="0"/>
        <w:widowControl w:val="0"/>
        <w:suppressLineNumbers w:val="0"/>
        <w:spacing w:before="0" w:beforeAutospacing="0" w:after="0" w:afterAutospacing="0" w:line="360" w:lineRule="auto"/>
        <w:ind w:left="0" w:right="0" w:firstLine="491" w:firstLineChars="234"/>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1．在项目实施过程中，如甲方有咨询或异议，乙方应于</w:t>
      </w:r>
      <w:r>
        <w:rPr>
          <w:rFonts w:hint="eastAsia" w:ascii="宋体" w:hAnsi="宋体" w:eastAsia="宋体" w:cs="宋体"/>
          <w:kern w:val="2"/>
          <w:sz w:val="21"/>
          <w:szCs w:val="21"/>
          <w:u w:val="single"/>
          <w:lang w:val="en-US" w:eastAsia="zh-CN" w:bidi="ar"/>
        </w:rPr>
        <w:t>3</w:t>
      </w:r>
      <w:r>
        <w:rPr>
          <w:rFonts w:hint="eastAsia" w:ascii="宋体" w:hAnsi="宋体" w:eastAsia="宋体" w:cs="宋体"/>
          <w:kern w:val="2"/>
          <w:sz w:val="21"/>
          <w:szCs w:val="21"/>
          <w:lang w:val="en-US" w:eastAsia="zh-CN" w:bidi="ar"/>
        </w:rPr>
        <w:t>个工作日内予以答复。</w:t>
      </w:r>
    </w:p>
    <w:p w14:paraId="1628E197">
      <w:pPr>
        <w:keepNext w:val="0"/>
        <w:keepLines w:val="0"/>
        <w:widowControl w:val="0"/>
        <w:suppressLineNumbers w:val="0"/>
        <w:spacing w:before="0" w:beforeAutospacing="0" w:after="0" w:afterAutospacing="0" w:line="360" w:lineRule="auto"/>
        <w:ind w:left="0" w:right="0" w:firstLine="491" w:firstLineChars="234"/>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2．有权监督乙方实施项目的进展情况，并提出整改意见。</w:t>
      </w:r>
    </w:p>
    <w:p w14:paraId="16BEC50F">
      <w:pPr>
        <w:keepNext w:val="0"/>
        <w:keepLines w:val="0"/>
        <w:widowControl w:val="0"/>
        <w:suppressLineNumbers w:val="0"/>
        <w:spacing w:before="0" w:beforeAutospacing="0" w:after="0" w:afterAutospacing="0" w:line="360" w:lineRule="auto"/>
        <w:ind w:left="0" w:right="0" w:firstLine="283" w:firstLineChars="135"/>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3．甲方有权确定项目是否通过验收。</w:t>
      </w:r>
    </w:p>
    <w:p w14:paraId="460B1B5B">
      <w:pPr>
        <w:keepNext w:val="0"/>
        <w:keepLines w:val="0"/>
        <w:widowControl w:val="0"/>
        <w:suppressLineNumbers w:val="0"/>
        <w:spacing w:before="0" w:beforeAutospacing="0" w:after="0" w:afterAutospacing="0" w:line="360" w:lineRule="auto"/>
        <w:ind w:left="0" w:right="0" w:firstLine="210" w:firstLineChars="1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（二）乙方的权利和义务：</w:t>
      </w:r>
    </w:p>
    <w:p w14:paraId="627EDB3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1．乙方应诚实、勤勉，以专业水平配合甲方实施项目。</w:t>
      </w:r>
    </w:p>
    <w:p w14:paraId="5AAE7EC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2．乙方应保证有充足的专业资源与人力资源支持本项目运行。本项目工作人员不得少于合同约定的人数。</w:t>
      </w:r>
    </w:p>
    <w:p w14:paraId="24D90CC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3．如非法定情形，乙方不得在未取得甲方事先书面同意的前提下变更或减少实施项目的人员。</w:t>
      </w:r>
    </w:p>
    <w:p w14:paraId="7FB8B12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4．乙方工作人员配合甲方期间，乙方人员的安全健康问题由乙方负责。</w:t>
      </w:r>
    </w:p>
    <w:p w14:paraId="33CBB1D1">
      <w:pPr>
        <w:keepNext w:val="0"/>
        <w:keepLines w:val="0"/>
        <w:widowControl/>
        <w:numPr>
          <w:ilvl w:val="0"/>
          <w:numId w:val="4"/>
        </w:numPr>
        <w:suppressLineNumbers w:val="0"/>
        <w:spacing w:before="0" w:beforeAutospacing="0" w:after="0" w:afterAutospacing="0" w:line="360" w:lineRule="auto"/>
        <w:ind w:left="567" w:right="0" w:hanging="567"/>
        <w:jc w:val="left"/>
        <w:outlineLvl w:val="2"/>
        <w:rPr>
          <w:rFonts w:hint="eastAsia" w:ascii="宋体" w:hAnsi="宋体" w:eastAsia="宋体" w:cs="宋体"/>
          <w:b/>
          <w:bCs w:val="0"/>
          <w:kern w:val="2"/>
          <w:sz w:val="21"/>
          <w:szCs w:val="21"/>
        </w:rPr>
      </w:pPr>
      <w:r>
        <w:rPr>
          <w:rFonts w:hint="eastAsia" w:ascii="宋体" w:hAnsi="宋体" w:eastAsia="宋体" w:cs="宋体"/>
          <w:b/>
          <w:bCs w:val="0"/>
          <w:kern w:val="2"/>
          <w:sz w:val="21"/>
          <w:szCs w:val="21"/>
          <w:lang w:val="en-US" w:eastAsia="zh-CN" w:bidi="ar"/>
        </w:rPr>
        <w:t>项目要求</w:t>
      </w:r>
    </w:p>
    <w:p w14:paraId="5C2A829D">
      <w:pPr>
        <w:keepNext w:val="0"/>
        <w:keepLines w:val="0"/>
        <w:widowControl w:val="0"/>
        <w:numPr>
          <w:ilvl w:val="2"/>
          <w:numId w:val="4"/>
        </w:numPr>
        <w:suppressLineNumbers w:val="0"/>
        <w:spacing w:before="0" w:beforeAutospacing="0" w:after="0" w:afterAutospacing="0" w:line="360" w:lineRule="auto"/>
        <w:ind w:left="425" w:right="0" w:hanging="567"/>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具体要求以招标文件以及乙方的投标文件承诺为准，如招标文件与投标文件不一致时，以更有利于甲方的条款执行。</w:t>
      </w:r>
    </w:p>
    <w:p w14:paraId="18B21B0E">
      <w:pPr>
        <w:keepNext w:val="0"/>
        <w:keepLines w:val="0"/>
        <w:widowControl w:val="0"/>
        <w:numPr>
          <w:ilvl w:val="2"/>
          <w:numId w:val="4"/>
        </w:numPr>
        <w:suppressLineNumbers w:val="0"/>
        <w:spacing w:before="0" w:beforeAutospacing="0" w:after="0" w:afterAutospacing="0" w:line="360" w:lineRule="auto"/>
        <w:ind w:left="425" w:right="0" w:hanging="567"/>
        <w:jc w:val="both"/>
        <w:rPr>
          <w:rFonts w:hint="eastAsia" w:ascii="宋体" w:hAnsi="宋体" w:eastAsia="宋体" w:cs="宋体"/>
          <w:kern w:val="2"/>
          <w:sz w:val="21"/>
          <w:szCs w:val="21"/>
        </w:rPr>
      </w:pPr>
      <w:r>
        <w:rPr>
          <w:rFonts w:hint="eastAsia" w:ascii="宋体" w:hAnsi="宋体" w:eastAsia="宋体" w:cs="宋体"/>
          <w:kern w:val="0"/>
          <w:sz w:val="21"/>
          <w:szCs w:val="21"/>
          <w:lang w:val="en-US" w:eastAsia="zh-CN" w:bidi="ar"/>
        </w:rPr>
        <w:t>验收期限：全部服务完成后</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天内完成项目验收。</w:t>
      </w:r>
    </w:p>
    <w:p w14:paraId="1D4B802F">
      <w:pPr>
        <w:keepNext w:val="0"/>
        <w:keepLines w:val="0"/>
        <w:widowControl/>
        <w:numPr>
          <w:ilvl w:val="0"/>
          <w:numId w:val="4"/>
        </w:numPr>
        <w:suppressLineNumbers w:val="0"/>
        <w:spacing w:before="0" w:beforeAutospacing="0" w:after="0" w:afterAutospacing="0" w:line="360" w:lineRule="auto"/>
        <w:ind w:left="567" w:right="0" w:hanging="567"/>
        <w:jc w:val="left"/>
        <w:outlineLvl w:val="2"/>
        <w:rPr>
          <w:rFonts w:hint="eastAsia" w:ascii="宋体" w:hAnsi="宋体" w:eastAsia="宋体" w:cs="宋体"/>
          <w:b/>
          <w:bCs w:val="0"/>
          <w:kern w:val="2"/>
          <w:sz w:val="21"/>
          <w:szCs w:val="21"/>
        </w:rPr>
      </w:pPr>
      <w:r>
        <w:rPr>
          <w:rFonts w:hint="eastAsia" w:ascii="宋体" w:hAnsi="宋体" w:eastAsia="宋体" w:cs="宋体"/>
          <w:b/>
          <w:bCs w:val="0"/>
          <w:kern w:val="2"/>
          <w:sz w:val="21"/>
          <w:szCs w:val="21"/>
          <w:lang w:val="en-US" w:eastAsia="zh-CN" w:bidi="ar"/>
        </w:rPr>
        <w:t>付款方式</w:t>
      </w:r>
    </w:p>
    <w:p w14:paraId="0903537B">
      <w:pPr>
        <w:keepNext w:val="0"/>
        <w:keepLines w:val="0"/>
        <w:widowControl w:val="0"/>
        <w:suppressLineNumbers w:val="0"/>
        <w:spacing w:before="0" w:beforeAutospacing="0" w:after="0" w:afterAutospacing="0" w:line="360" w:lineRule="auto"/>
        <w:ind w:left="365" w:leftChars="174" w:right="0" w:firstLine="105" w:firstLineChars="50"/>
        <w:jc w:val="both"/>
        <w:rPr>
          <w:rFonts w:hint="eastAsia" w:ascii="宋体" w:hAnsi="宋体" w:eastAsia="宋体" w:cs="宋体"/>
          <w:kern w:val="2"/>
          <w:sz w:val="21"/>
          <w:szCs w:val="21"/>
          <w:lang w:val="en-US" w:eastAsia="zh" w:bidi="ar"/>
          <w:woUserID w:val="1"/>
        </w:rPr>
      </w:pPr>
      <w:r>
        <w:rPr>
          <w:rFonts w:hint="eastAsia" w:ascii="宋体" w:hAnsi="宋体" w:eastAsia="宋体" w:cs="宋体"/>
          <w:kern w:val="2"/>
          <w:sz w:val="21"/>
          <w:szCs w:val="21"/>
          <w:lang w:val="en-US" w:eastAsia="zh" w:bidi="ar"/>
          <w:woUserID w:val="1"/>
        </w:rPr>
        <w:t>1.甲方与乙方签订合同后15个工作日内，甲方办理向乙方支付本项目合同价款30％款项的手续。 （乙方须向甲方提供相对应的付款发票）。</w:t>
      </w:r>
    </w:p>
    <w:p w14:paraId="3172EAFA">
      <w:pPr>
        <w:keepNext w:val="0"/>
        <w:keepLines w:val="0"/>
        <w:widowControl w:val="0"/>
        <w:suppressLineNumbers w:val="0"/>
        <w:spacing w:before="0" w:beforeAutospacing="0" w:after="0" w:afterAutospacing="0" w:line="360" w:lineRule="auto"/>
        <w:ind w:left="365" w:leftChars="174" w:right="0" w:firstLine="105" w:firstLineChars="50"/>
        <w:jc w:val="both"/>
        <w:rPr>
          <w:rFonts w:hint="eastAsia" w:ascii="宋体" w:hAnsi="宋体" w:eastAsia="宋体" w:cs="宋体"/>
          <w:kern w:val="2"/>
          <w:sz w:val="21"/>
          <w:szCs w:val="21"/>
          <w:lang w:val="en-US" w:eastAsia="zh" w:bidi="ar"/>
          <w:woUserID w:val="1"/>
        </w:rPr>
      </w:pPr>
      <w:r>
        <w:rPr>
          <w:rFonts w:hint="eastAsia" w:ascii="宋体" w:hAnsi="宋体" w:eastAsia="宋体" w:cs="宋体"/>
          <w:kern w:val="2"/>
          <w:sz w:val="21"/>
          <w:szCs w:val="21"/>
          <w:lang w:val="en-US" w:eastAsia="zh" w:bidi="ar"/>
          <w:woUserID w:val="1"/>
        </w:rPr>
        <w:t>2.项目验收通过后，甲方于收到发票15个工作日内办理向乙方支付本项目合同价款70%款项的手续。</w:t>
      </w:r>
    </w:p>
    <w:p w14:paraId="6E36D1E9">
      <w:pPr>
        <w:keepNext w:val="0"/>
        <w:keepLines w:val="0"/>
        <w:widowControl w:val="0"/>
        <w:suppressLineNumbers w:val="0"/>
        <w:spacing w:before="0" w:beforeAutospacing="0" w:after="0" w:afterAutospacing="0" w:line="360" w:lineRule="auto"/>
        <w:ind w:left="365" w:leftChars="174" w:right="0" w:firstLine="105" w:firstLineChars="50"/>
        <w:jc w:val="both"/>
        <w:rPr>
          <w:rFonts w:hint="eastAsia" w:ascii="宋体" w:hAnsi="宋体" w:eastAsia="宋体" w:cs="宋体"/>
          <w:kern w:val="2"/>
          <w:sz w:val="21"/>
          <w:szCs w:val="21"/>
          <w:lang w:val="en-US" w:eastAsia="zh" w:bidi="ar"/>
          <w:woUserID w:val="1"/>
        </w:rPr>
      </w:pPr>
      <w:r>
        <w:rPr>
          <w:rFonts w:hint="eastAsia" w:ascii="宋体" w:hAnsi="宋体" w:eastAsia="宋体" w:cs="宋体"/>
          <w:kern w:val="2"/>
          <w:sz w:val="21"/>
          <w:szCs w:val="21"/>
          <w:lang w:val="en-US" w:eastAsia="zh" w:bidi="ar"/>
          <w:woUserID w:val="1"/>
        </w:rPr>
        <w:t>【注：如遇财政专项经费年度结转、寒暑假等原因，验收、付款等日期相应延后。】</w:t>
      </w:r>
    </w:p>
    <w:p w14:paraId="6A618D3A">
      <w:pPr>
        <w:keepNext w:val="0"/>
        <w:keepLines w:val="0"/>
        <w:widowControl/>
        <w:numPr>
          <w:ilvl w:val="0"/>
          <w:numId w:val="4"/>
        </w:numPr>
        <w:suppressLineNumbers w:val="0"/>
        <w:spacing w:before="0" w:beforeAutospacing="0" w:after="0" w:afterAutospacing="0" w:line="360" w:lineRule="auto"/>
        <w:ind w:left="567" w:right="0" w:hanging="567"/>
        <w:jc w:val="left"/>
        <w:outlineLvl w:val="2"/>
        <w:rPr>
          <w:rFonts w:hint="eastAsia" w:ascii="宋体" w:hAnsi="宋体" w:eastAsia="宋体" w:cs="宋体"/>
          <w:b/>
          <w:bCs w:val="0"/>
          <w:kern w:val="2"/>
          <w:sz w:val="21"/>
          <w:szCs w:val="21"/>
        </w:rPr>
      </w:pPr>
      <w:r>
        <w:rPr>
          <w:rFonts w:hint="eastAsia" w:ascii="宋体" w:hAnsi="宋体" w:eastAsia="宋体" w:cs="宋体"/>
          <w:b/>
          <w:bCs w:val="0"/>
          <w:kern w:val="2"/>
          <w:sz w:val="21"/>
          <w:szCs w:val="21"/>
          <w:lang w:val="en-US" w:eastAsia="zh-CN" w:bidi="ar"/>
        </w:rPr>
        <w:t>违约责任与赔偿损失</w:t>
      </w:r>
    </w:p>
    <w:p w14:paraId="6764A468">
      <w:pPr>
        <w:keepNext w:val="0"/>
        <w:keepLines w:val="0"/>
        <w:widowControl w:val="0"/>
        <w:suppressLineNumbers w:val="0"/>
        <w:spacing w:before="0" w:beforeAutospacing="0" w:after="0" w:afterAutospacing="0" w:line="360" w:lineRule="auto"/>
        <w:ind w:left="0" w:right="0" w:firstLine="424" w:firstLineChars="202"/>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 乙方未能按规定时间完成相关工作，从逾期之日起每日甲方扣减乙方成交金额1‰的违约金；逾期半个月以上的，甲方有权终止合同，乙方退回已收取的预付款并向甲方支付该项预付款3%的违约金。</w:t>
      </w:r>
    </w:p>
    <w:p w14:paraId="5448C372">
      <w:pPr>
        <w:keepNext w:val="0"/>
        <w:keepLines w:val="0"/>
        <w:widowControl w:val="0"/>
        <w:suppressLineNumbers w:val="0"/>
        <w:spacing w:before="0" w:beforeAutospacing="0" w:after="0" w:afterAutospacing="0" w:line="360" w:lineRule="auto"/>
        <w:ind w:left="0" w:right="0" w:firstLine="424" w:firstLineChars="202"/>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 乙方在项目执行过程中如存在弄虚作假的情况，一经发现，甲方有权终止合同，乙方退回已收取的预付款，并向甲方支付该项预付款3%的违约金。</w:t>
      </w:r>
    </w:p>
    <w:p w14:paraId="31B46DD7">
      <w:pPr>
        <w:keepNext w:val="0"/>
        <w:keepLines w:val="0"/>
        <w:widowControl/>
        <w:numPr>
          <w:ilvl w:val="0"/>
          <w:numId w:val="4"/>
        </w:numPr>
        <w:suppressLineNumbers w:val="0"/>
        <w:spacing w:before="0" w:beforeAutospacing="0" w:after="0" w:afterAutospacing="0" w:line="360" w:lineRule="auto"/>
        <w:ind w:left="567" w:right="0" w:hanging="567"/>
        <w:jc w:val="left"/>
        <w:outlineLvl w:val="2"/>
        <w:rPr>
          <w:rFonts w:hint="eastAsia" w:ascii="宋体" w:hAnsi="宋体" w:eastAsia="宋体" w:cs="宋体"/>
          <w:b/>
          <w:bCs w:val="0"/>
          <w:kern w:val="2"/>
          <w:sz w:val="21"/>
          <w:szCs w:val="21"/>
        </w:rPr>
      </w:pPr>
      <w:r>
        <w:rPr>
          <w:rFonts w:hint="eastAsia" w:ascii="宋体" w:hAnsi="宋体" w:eastAsia="宋体" w:cs="宋体"/>
          <w:b/>
          <w:bCs w:val="0"/>
          <w:kern w:val="2"/>
          <w:sz w:val="21"/>
          <w:szCs w:val="21"/>
          <w:lang w:val="en-US" w:eastAsia="zh-CN" w:bidi="ar"/>
        </w:rPr>
        <w:t>不可抗力</w:t>
      </w:r>
    </w:p>
    <w:p w14:paraId="0EEB961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不可抗力指战争、严重火灾、洪水、台风、地震等或其他双方认定的不可抗力事件。甲乙双方的任何一方由于不可抗力的原因不能履行或不能完全履行合同时，应尽快向对方通报理由，在提供相应证明后，可允许延期履行、部分履行或不履行，并可根据情况部分或全部免于承担违约责任。</w:t>
      </w:r>
    </w:p>
    <w:p w14:paraId="34F13D5A">
      <w:pPr>
        <w:keepNext w:val="0"/>
        <w:keepLines w:val="0"/>
        <w:widowControl/>
        <w:numPr>
          <w:ilvl w:val="0"/>
          <w:numId w:val="4"/>
        </w:numPr>
        <w:suppressLineNumbers w:val="0"/>
        <w:spacing w:before="0" w:beforeAutospacing="0" w:after="0" w:afterAutospacing="0" w:line="360" w:lineRule="auto"/>
        <w:ind w:left="567" w:right="0" w:hanging="567"/>
        <w:jc w:val="left"/>
        <w:outlineLvl w:val="2"/>
        <w:rPr>
          <w:rFonts w:hint="eastAsia" w:ascii="宋体" w:hAnsi="宋体" w:eastAsia="宋体" w:cs="宋体"/>
          <w:b/>
          <w:bCs w:val="0"/>
          <w:kern w:val="2"/>
          <w:sz w:val="21"/>
          <w:szCs w:val="21"/>
        </w:rPr>
      </w:pPr>
      <w:r>
        <w:rPr>
          <w:rFonts w:hint="eastAsia" w:ascii="宋体" w:hAnsi="宋体" w:eastAsia="宋体" w:cs="宋体"/>
          <w:b/>
          <w:bCs w:val="0"/>
          <w:kern w:val="2"/>
          <w:sz w:val="21"/>
          <w:szCs w:val="21"/>
          <w:lang w:val="en-US" w:eastAsia="zh-CN" w:bidi="ar"/>
        </w:rPr>
        <w:t>争议及解决办法</w:t>
      </w:r>
    </w:p>
    <w:p w14:paraId="6A88561D">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本合同发生争议，由双方协商调解解决，协商或调解不成时按以下第</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种方式解决（请选择）：</w:t>
      </w:r>
    </w:p>
    <w:p w14:paraId="636449C6">
      <w:pPr>
        <w:keepNext w:val="0"/>
        <w:keepLines w:val="0"/>
        <w:widowControl/>
        <w:numPr>
          <w:ilvl w:val="2"/>
          <w:numId w:val="4"/>
        </w:numPr>
        <w:suppressLineNumbers w:val="0"/>
        <w:spacing w:before="0" w:beforeAutospacing="0" w:after="0" w:afterAutospacing="0" w:line="360" w:lineRule="auto"/>
        <w:ind w:left="425" w:right="0" w:hanging="567"/>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中国广州仲裁委员会仲裁；</w:t>
      </w:r>
    </w:p>
    <w:p w14:paraId="479DECFD">
      <w:pPr>
        <w:keepNext w:val="0"/>
        <w:keepLines w:val="0"/>
        <w:widowControl/>
        <w:numPr>
          <w:ilvl w:val="2"/>
          <w:numId w:val="4"/>
        </w:numPr>
        <w:suppressLineNumbers w:val="0"/>
        <w:spacing w:before="0" w:beforeAutospacing="0" w:after="0" w:afterAutospacing="0" w:line="360" w:lineRule="auto"/>
        <w:ind w:left="425" w:right="0" w:hanging="567"/>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向甲方所在地人民法院提起诉讼。</w:t>
      </w:r>
    </w:p>
    <w:p w14:paraId="008357F0">
      <w:pPr>
        <w:keepNext w:val="0"/>
        <w:keepLines w:val="0"/>
        <w:widowControl/>
        <w:numPr>
          <w:ilvl w:val="0"/>
          <w:numId w:val="4"/>
        </w:numPr>
        <w:suppressLineNumbers w:val="0"/>
        <w:spacing w:before="0" w:beforeAutospacing="0" w:after="0" w:afterAutospacing="0" w:line="360" w:lineRule="auto"/>
        <w:ind w:left="567" w:right="0" w:hanging="567"/>
        <w:jc w:val="left"/>
        <w:outlineLvl w:val="2"/>
        <w:rPr>
          <w:rFonts w:hint="eastAsia" w:ascii="宋体" w:hAnsi="宋体" w:eastAsia="宋体" w:cs="宋体"/>
          <w:b/>
          <w:bCs w:val="0"/>
          <w:kern w:val="2"/>
          <w:sz w:val="21"/>
          <w:szCs w:val="21"/>
        </w:rPr>
      </w:pPr>
      <w:r>
        <w:rPr>
          <w:rFonts w:hint="eastAsia" w:ascii="宋体" w:hAnsi="宋体" w:eastAsia="宋体" w:cs="宋体"/>
          <w:b/>
          <w:bCs w:val="0"/>
          <w:kern w:val="2"/>
          <w:sz w:val="21"/>
          <w:szCs w:val="21"/>
          <w:lang w:val="en-US" w:eastAsia="zh-CN" w:bidi="ar"/>
        </w:rPr>
        <w:t>其他</w:t>
      </w:r>
    </w:p>
    <w:p w14:paraId="4DDF051E">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本合同一式</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份，具有同等效力，甲、乙双方各执</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份，采购代理机构壹份。合同自双方签字盖章之日起生效。</w:t>
      </w:r>
    </w:p>
    <w:p w14:paraId="3B49AA2D">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本合同未尽事宜，由双方协商处理。</w:t>
      </w:r>
    </w:p>
    <w:p w14:paraId="272C1C22">
      <w:pPr>
        <w:keepNext w:val="0"/>
        <w:keepLines w:val="0"/>
        <w:widowControl w:val="0"/>
        <w:suppressLineNumbers w:val="0"/>
        <w:spacing w:before="0" w:beforeAutospacing="0" w:after="0" w:afterAutospacing="0" w:line="360" w:lineRule="auto"/>
        <w:ind w:left="420" w:leftChars="20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甲方：                                  乙方：</w:t>
      </w:r>
    </w:p>
    <w:p w14:paraId="1A183D61">
      <w:pPr>
        <w:keepNext w:val="0"/>
        <w:keepLines w:val="0"/>
        <w:widowControl w:val="0"/>
        <w:suppressLineNumbers w:val="0"/>
        <w:spacing w:before="0" w:beforeAutospacing="0" w:after="0" w:afterAutospacing="0" w:line="360" w:lineRule="auto"/>
        <w:ind w:left="420" w:leftChars="200" w:right="0"/>
        <w:jc w:val="both"/>
        <w:rPr>
          <w:rFonts w:hint="eastAsia" w:ascii="宋体" w:hAnsi="宋体" w:eastAsia="宋体" w:cs="宋体"/>
          <w:kern w:val="2"/>
          <w:sz w:val="21"/>
          <w:szCs w:val="21"/>
        </w:rPr>
      </w:pP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 xml:space="preserve">（加盖公章）             </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（加盖公章）</w:t>
      </w:r>
    </w:p>
    <w:p w14:paraId="284EED6B">
      <w:pPr>
        <w:keepNext w:val="0"/>
        <w:keepLines w:val="0"/>
        <w:widowControl w:val="0"/>
        <w:suppressLineNumbers w:val="0"/>
        <w:spacing w:before="0" w:beforeAutospacing="0" w:after="0" w:afterAutospacing="0" w:line="360" w:lineRule="auto"/>
        <w:ind w:left="420" w:leftChars="20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法定代表人：                            法定代表人：</w:t>
      </w:r>
    </w:p>
    <w:p w14:paraId="50AC1157">
      <w:pPr>
        <w:keepNext w:val="0"/>
        <w:keepLines w:val="0"/>
        <w:widowControl w:val="0"/>
        <w:suppressLineNumbers w:val="0"/>
        <w:spacing w:before="0" w:beforeAutospacing="0" w:after="0" w:afterLines="0" w:afterAutospacing="0" w:line="360" w:lineRule="auto"/>
        <w:ind w:left="420" w:leftChars="200" w:right="0"/>
        <w:jc w:val="both"/>
        <w:rPr>
          <w:rFonts w:hint="default" w:ascii="Times New Roman" w:hAnsi="Times New Roman" w:eastAsia="仿宋" w:cs="Times New Roman"/>
          <w:b/>
          <w:bCs w:val="0"/>
          <w:kern w:val="2"/>
          <w:sz w:val="28"/>
          <w:szCs w:val="28"/>
        </w:rPr>
      </w:pPr>
      <w:r>
        <w:rPr>
          <w:rFonts w:hint="eastAsia" w:ascii="宋体" w:hAnsi="宋体" w:eastAsia="宋体" w:cs="宋体"/>
          <w:kern w:val="2"/>
          <w:sz w:val="21"/>
          <w:szCs w:val="21"/>
          <w:lang w:val="en-US" w:eastAsia="zh-CN" w:bidi="ar"/>
        </w:rPr>
        <w:t xml:space="preserve">签约日期：    年  月  日                签约日期：    年  月  </w:t>
      </w:r>
    </w:p>
    <w:p w14:paraId="522BF974"/>
    <w:p w14:paraId="79DF6EEC">
      <w:pPr>
        <w:pStyle w:val="2"/>
        <w:widowControl/>
        <w:spacing w:line="360" w:lineRule="auto"/>
        <w:jc w:val="center"/>
        <w:rPr>
          <w:rFonts w:hint="default" w:ascii="Calibri Light" w:hAnsi="Calibri Light" w:eastAsia="仿宋" w:cs="Times New Roman"/>
          <w:b w:val="0"/>
          <w:bCs/>
          <w:kern w:val="2"/>
          <w:sz w:val="32"/>
          <w:szCs w:val="32"/>
        </w:rPr>
      </w:pPr>
      <w:r>
        <w:rPr>
          <w:rFonts w:hint="eastAsia" w:ascii="宋体" w:hAnsi="宋体" w:eastAsia="宋体" w:cs="宋体"/>
          <w:b/>
          <w:bCs/>
          <w:kern w:val="0"/>
          <w:sz w:val="44"/>
          <w:szCs w:val="44"/>
        </w:rPr>
        <w:t>第六部分 投标文件</w:t>
      </w:r>
    </w:p>
    <w:p w14:paraId="6AE715E8">
      <w:pPr>
        <w:keepNext w:val="0"/>
        <w:keepLines w:val="0"/>
        <w:widowControl w:val="0"/>
        <w:suppressLineNumbers w:val="0"/>
        <w:spacing w:before="0" w:beforeAutospacing="0" w:after="0" w:afterAutospacing="0"/>
        <w:ind w:left="0" w:right="0"/>
        <w:jc w:val="both"/>
        <w:rPr>
          <w:rFonts w:hint="default" w:ascii="Times New Roman" w:hAnsi="Times New Roman" w:eastAsia="仿宋" w:cs="Times New Roman"/>
          <w:b/>
          <w:bCs w:val="0"/>
          <w:kern w:val="2"/>
          <w:sz w:val="32"/>
          <w:szCs w:val="32"/>
        </w:rPr>
      </w:pPr>
      <w:r>
        <w:rPr>
          <w:rFonts w:hint="default" w:ascii="Times New Roman" w:hAnsi="Times New Roman" w:eastAsia="仿宋" w:cs="Times New Roman"/>
          <w:b/>
          <w:bCs w:val="0"/>
          <w:kern w:val="2"/>
          <w:sz w:val="32"/>
          <w:szCs w:val="32"/>
          <w:lang w:val="en-US" w:eastAsia="zh-CN" w:bidi="ar"/>
        </w:rPr>
        <w:t xml:space="preserve"> </w:t>
      </w:r>
    </w:p>
    <w:p w14:paraId="7252AB3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FF08C4F">
      <w:pPr>
        <w:pStyle w:val="11"/>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val="0"/>
          <w:spacing w:val="100"/>
          <w:kern w:val="0"/>
          <w:sz w:val="84"/>
          <w:szCs w:val="84"/>
        </w:rPr>
      </w:pPr>
      <w:r>
        <w:rPr>
          <w:rFonts w:hint="eastAsia" w:ascii="宋体" w:hAnsi="宋体" w:eastAsia="宋体" w:cs="宋体"/>
          <w:b/>
          <w:bCs w:val="0"/>
          <w:spacing w:val="100"/>
          <w:kern w:val="0"/>
          <w:sz w:val="84"/>
          <w:szCs w:val="84"/>
          <w:lang w:val="en-US" w:eastAsia="zh-CN" w:bidi="ar"/>
        </w:rPr>
        <w:t>投标 文 件</w:t>
      </w:r>
    </w:p>
    <w:p w14:paraId="6FF627AC">
      <w:pPr>
        <w:pStyle w:val="11"/>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val="0"/>
          <w:kern w:val="2"/>
          <w:sz w:val="48"/>
          <w:szCs w:val="48"/>
        </w:rPr>
      </w:pPr>
      <w:r>
        <w:rPr>
          <w:rFonts w:hint="eastAsia" w:ascii="宋体" w:hAnsi="宋体" w:eastAsia="宋体" w:cs="宋体"/>
          <w:b/>
          <w:bCs w:val="0"/>
          <w:kern w:val="2"/>
          <w:sz w:val="48"/>
          <w:szCs w:val="48"/>
          <w:lang w:val="en-US" w:eastAsia="zh-CN" w:bidi="ar"/>
        </w:rPr>
        <w:t xml:space="preserve"> </w:t>
      </w:r>
    </w:p>
    <w:p w14:paraId="2F402D28">
      <w:pPr>
        <w:pStyle w:val="11"/>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val="0"/>
          <w:kern w:val="2"/>
          <w:sz w:val="48"/>
          <w:szCs w:val="48"/>
        </w:rPr>
      </w:pPr>
      <w:r>
        <w:rPr>
          <w:rFonts w:hint="eastAsia" w:ascii="宋体" w:hAnsi="宋体" w:eastAsia="宋体" w:cs="宋体"/>
          <w:b/>
          <w:bCs w:val="0"/>
          <w:kern w:val="2"/>
          <w:sz w:val="48"/>
          <w:szCs w:val="48"/>
          <w:lang w:val="en-US" w:eastAsia="zh-CN" w:bidi="ar"/>
        </w:rPr>
        <w:t xml:space="preserve"> </w:t>
      </w:r>
    </w:p>
    <w:p w14:paraId="4DA07963">
      <w:pPr>
        <w:pStyle w:val="11"/>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val="0"/>
          <w:kern w:val="2"/>
          <w:sz w:val="48"/>
          <w:szCs w:val="48"/>
        </w:rPr>
      </w:pPr>
      <w:r>
        <w:rPr>
          <w:rFonts w:hint="eastAsia" w:ascii="宋体" w:hAnsi="宋体" w:eastAsia="宋体" w:cs="宋体"/>
          <w:b/>
          <w:bCs w:val="0"/>
          <w:kern w:val="2"/>
          <w:sz w:val="48"/>
          <w:szCs w:val="48"/>
          <w:lang w:val="en-US" w:eastAsia="zh-CN" w:bidi="ar"/>
        </w:rPr>
        <w:t>（正本/副本/电子文件信封）</w:t>
      </w:r>
    </w:p>
    <w:p w14:paraId="0183E580">
      <w:pPr>
        <w:pStyle w:val="11"/>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val="0"/>
          <w:kern w:val="2"/>
          <w:sz w:val="28"/>
          <w:szCs w:val="28"/>
        </w:rPr>
      </w:pPr>
      <w:r>
        <w:rPr>
          <w:rFonts w:hint="eastAsia" w:ascii="宋体" w:hAnsi="宋体" w:eastAsia="宋体" w:cs="宋体"/>
          <w:b/>
          <w:bCs w:val="0"/>
          <w:kern w:val="2"/>
          <w:sz w:val="28"/>
          <w:szCs w:val="28"/>
          <w:lang w:val="en-US" w:eastAsia="zh-CN" w:bidi="ar"/>
        </w:rPr>
        <w:t xml:space="preserve"> </w:t>
      </w:r>
    </w:p>
    <w:p w14:paraId="1D448438">
      <w:pPr>
        <w:pStyle w:val="11"/>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val="0"/>
          <w:kern w:val="2"/>
          <w:sz w:val="28"/>
          <w:szCs w:val="28"/>
        </w:rPr>
      </w:pPr>
      <w:r>
        <w:rPr>
          <w:rFonts w:hint="eastAsia" w:ascii="宋体" w:hAnsi="宋体" w:eastAsia="宋体" w:cs="宋体"/>
          <w:b/>
          <w:bCs w:val="0"/>
          <w:kern w:val="2"/>
          <w:sz w:val="28"/>
          <w:szCs w:val="28"/>
          <w:lang w:val="en-US" w:eastAsia="zh-CN" w:bidi="ar"/>
        </w:rPr>
        <w:t xml:space="preserve"> </w:t>
      </w:r>
    </w:p>
    <w:p w14:paraId="407684F4">
      <w:pPr>
        <w:pStyle w:val="11"/>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val="0"/>
          <w:kern w:val="2"/>
          <w:sz w:val="28"/>
          <w:szCs w:val="28"/>
        </w:rPr>
      </w:pPr>
      <w:r>
        <w:rPr>
          <w:rFonts w:hint="eastAsia" w:ascii="宋体" w:hAnsi="宋体" w:eastAsia="宋体" w:cs="宋体"/>
          <w:b/>
          <w:bCs w:val="0"/>
          <w:kern w:val="2"/>
          <w:sz w:val="28"/>
          <w:szCs w:val="28"/>
          <w:lang w:val="en-US" w:eastAsia="zh-CN" w:bidi="ar"/>
        </w:rPr>
        <w:t xml:space="preserve"> </w:t>
      </w:r>
    </w:p>
    <w:p w14:paraId="3C1D2C55">
      <w:pPr>
        <w:pStyle w:val="7"/>
        <w:keepNext w:val="0"/>
        <w:keepLines w:val="0"/>
        <w:widowControl/>
        <w:suppressLineNumbers w:val="0"/>
        <w:spacing w:line="360" w:lineRule="auto"/>
        <w:ind w:left="0" w:firstLine="984" w:firstLineChars="350"/>
        <w:rPr>
          <w:rFonts w:hint="eastAsia" w:ascii="宋体" w:hAnsi="宋体" w:eastAsia="宋体" w:cs="宋体"/>
          <w:b/>
          <w:bCs w:val="0"/>
          <w:kern w:val="2"/>
          <w:sz w:val="28"/>
          <w:szCs w:val="28"/>
          <w:u w:val="thick"/>
        </w:rPr>
      </w:pPr>
      <w:r>
        <w:rPr>
          <w:rFonts w:hint="eastAsia" w:ascii="宋体" w:hAnsi="宋体" w:eastAsia="宋体" w:cs="宋体"/>
          <w:b/>
          <w:bCs w:val="0"/>
          <w:kern w:val="2"/>
          <w:sz w:val="28"/>
          <w:szCs w:val="28"/>
        </w:rPr>
        <w:t>项目编号：</w:t>
      </w:r>
      <w:r>
        <w:rPr>
          <w:rFonts w:hint="eastAsia" w:ascii="宋体" w:hAnsi="宋体" w:eastAsia="宋体" w:cs="宋体"/>
          <w:b/>
          <w:bCs w:val="0"/>
          <w:kern w:val="2"/>
          <w:sz w:val="28"/>
          <w:szCs w:val="28"/>
          <w:u w:val="thick"/>
        </w:rPr>
        <w:t xml:space="preserve">                                         </w:t>
      </w:r>
    </w:p>
    <w:p w14:paraId="6A329CBA">
      <w:pPr>
        <w:pStyle w:val="7"/>
        <w:keepNext w:val="0"/>
        <w:keepLines w:val="0"/>
        <w:widowControl/>
        <w:suppressLineNumbers w:val="0"/>
        <w:spacing w:line="360" w:lineRule="auto"/>
        <w:ind w:left="0" w:firstLine="984" w:firstLineChars="350"/>
        <w:rPr>
          <w:rFonts w:hint="eastAsia" w:ascii="宋体" w:hAnsi="宋体" w:eastAsia="宋体" w:cs="宋体"/>
          <w:b/>
          <w:bCs w:val="0"/>
          <w:kern w:val="2"/>
          <w:sz w:val="28"/>
          <w:szCs w:val="28"/>
          <w:u w:val="single"/>
        </w:rPr>
      </w:pPr>
      <w:r>
        <w:rPr>
          <w:rFonts w:hint="eastAsia" w:ascii="宋体" w:hAnsi="宋体" w:eastAsia="宋体" w:cs="宋体"/>
          <w:b/>
          <w:bCs w:val="0"/>
          <w:kern w:val="2"/>
          <w:sz w:val="28"/>
          <w:szCs w:val="28"/>
        </w:rPr>
        <w:t xml:space="preserve">项目名称： </w:t>
      </w:r>
      <w:r>
        <w:rPr>
          <w:rFonts w:hint="eastAsia" w:ascii="宋体" w:hAnsi="宋体" w:eastAsia="宋体" w:cs="宋体"/>
          <w:b/>
          <w:bCs w:val="0"/>
          <w:kern w:val="2"/>
          <w:sz w:val="28"/>
          <w:szCs w:val="28"/>
          <w:u w:val="thick"/>
        </w:rPr>
        <w:t xml:space="preserve">                                         </w:t>
      </w:r>
    </w:p>
    <w:p w14:paraId="17BC24C9">
      <w:pPr>
        <w:pStyle w:val="7"/>
        <w:keepNext w:val="0"/>
        <w:keepLines w:val="0"/>
        <w:widowControl/>
        <w:suppressLineNumbers w:val="0"/>
        <w:spacing w:line="360" w:lineRule="auto"/>
        <w:ind w:left="0" w:firstLine="984" w:firstLineChars="350"/>
        <w:rPr>
          <w:rFonts w:hint="eastAsia" w:ascii="宋体" w:hAnsi="宋体" w:eastAsia="宋体" w:cs="宋体"/>
          <w:b/>
          <w:bCs w:val="0"/>
          <w:kern w:val="2"/>
          <w:sz w:val="28"/>
          <w:szCs w:val="28"/>
          <w:u w:val="thick"/>
        </w:rPr>
      </w:pPr>
      <w:r>
        <w:rPr>
          <w:rFonts w:hint="eastAsia" w:ascii="宋体" w:hAnsi="宋体" w:eastAsia="宋体" w:cs="宋体"/>
          <w:b/>
          <w:bCs w:val="0"/>
          <w:kern w:val="2"/>
          <w:sz w:val="28"/>
          <w:szCs w:val="28"/>
        </w:rPr>
        <w:t>投标供应商名称：</w:t>
      </w:r>
      <w:r>
        <w:rPr>
          <w:rFonts w:hint="eastAsia" w:ascii="宋体" w:hAnsi="宋体" w:eastAsia="宋体" w:cs="宋体"/>
          <w:b/>
          <w:bCs w:val="0"/>
          <w:kern w:val="2"/>
          <w:sz w:val="28"/>
          <w:szCs w:val="28"/>
          <w:u w:val="thick"/>
        </w:rPr>
        <w:t xml:space="preserve">                                   </w:t>
      </w:r>
    </w:p>
    <w:p w14:paraId="71A1D064">
      <w:pPr>
        <w:pStyle w:val="7"/>
        <w:keepNext w:val="0"/>
        <w:keepLines w:val="0"/>
        <w:widowControl/>
        <w:suppressLineNumbers w:val="0"/>
        <w:spacing w:line="360" w:lineRule="auto"/>
        <w:ind w:left="0" w:firstLine="984" w:firstLineChars="350"/>
        <w:rPr>
          <w:rFonts w:hint="eastAsia" w:ascii="宋体" w:hAnsi="宋体" w:eastAsia="宋体" w:cs="宋体"/>
          <w:b/>
          <w:bCs w:val="0"/>
          <w:kern w:val="2"/>
          <w:sz w:val="28"/>
          <w:szCs w:val="28"/>
        </w:rPr>
      </w:pPr>
      <w:r>
        <w:rPr>
          <w:rFonts w:hint="eastAsia" w:ascii="宋体" w:hAnsi="宋体" w:eastAsia="宋体" w:cs="宋体"/>
          <w:b/>
          <w:bCs w:val="0"/>
          <w:kern w:val="2"/>
          <w:sz w:val="28"/>
          <w:szCs w:val="28"/>
        </w:rPr>
        <w:t>投标供应商地址：</w:t>
      </w:r>
      <w:r>
        <w:rPr>
          <w:rFonts w:hint="eastAsia" w:ascii="宋体" w:hAnsi="宋体" w:eastAsia="宋体" w:cs="宋体"/>
          <w:b/>
          <w:bCs w:val="0"/>
          <w:kern w:val="2"/>
          <w:sz w:val="28"/>
          <w:szCs w:val="28"/>
          <w:u w:val="thick"/>
        </w:rPr>
        <w:t xml:space="preserve">                                   </w:t>
      </w:r>
      <w:r>
        <w:rPr>
          <w:rFonts w:hint="eastAsia" w:ascii="宋体" w:hAnsi="宋体" w:eastAsia="宋体" w:cs="宋体"/>
          <w:b/>
          <w:bCs w:val="0"/>
          <w:kern w:val="2"/>
          <w:sz w:val="28"/>
          <w:szCs w:val="28"/>
        </w:rPr>
        <w:t xml:space="preserve"> </w:t>
      </w:r>
    </w:p>
    <w:p w14:paraId="684A0475">
      <w:pPr>
        <w:pStyle w:val="7"/>
        <w:keepNext w:val="0"/>
        <w:keepLines w:val="0"/>
        <w:widowControl/>
        <w:suppressLineNumbers w:val="0"/>
        <w:spacing w:line="360" w:lineRule="auto"/>
        <w:ind w:left="0" w:firstLine="984" w:firstLineChars="350"/>
        <w:rPr>
          <w:rFonts w:hint="eastAsia" w:ascii="宋体" w:hAnsi="宋体" w:eastAsia="宋体" w:cs="宋体"/>
          <w:b/>
          <w:bCs w:val="0"/>
          <w:kern w:val="2"/>
          <w:sz w:val="28"/>
          <w:szCs w:val="28"/>
        </w:rPr>
      </w:pPr>
      <w:r>
        <w:rPr>
          <w:rFonts w:hint="eastAsia" w:ascii="宋体" w:hAnsi="宋体" w:eastAsia="宋体" w:cs="宋体"/>
          <w:b/>
          <w:bCs w:val="0"/>
          <w:kern w:val="2"/>
          <w:sz w:val="28"/>
          <w:szCs w:val="28"/>
        </w:rPr>
        <w:t>联系人：</w:t>
      </w:r>
      <w:r>
        <w:rPr>
          <w:rFonts w:hint="eastAsia" w:ascii="宋体" w:hAnsi="宋体" w:eastAsia="宋体" w:cs="宋体"/>
          <w:b/>
          <w:bCs w:val="0"/>
          <w:kern w:val="2"/>
          <w:sz w:val="28"/>
          <w:szCs w:val="28"/>
          <w:u w:val="thick"/>
        </w:rPr>
        <w:t xml:space="preserve">                                           </w:t>
      </w:r>
      <w:r>
        <w:rPr>
          <w:rFonts w:hint="eastAsia" w:ascii="宋体" w:hAnsi="宋体" w:eastAsia="宋体" w:cs="宋体"/>
          <w:b/>
          <w:bCs w:val="0"/>
          <w:kern w:val="2"/>
          <w:sz w:val="28"/>
          <w:szCs w:val="28"/>
        </w:rPr>
        <w:t xml:space="preserve"> </w:t>
      </w:r>
    </w:p>
    <w:p w14:paraId="64CEBF79">
      <w:pPr>
        <w:pStyle w:val="7"/>
        <w:keepNext w:val="0"/>
        <w:keepLines w:val="0"/>
        <w:widowControl/>
        <w:suppressLineNumbers w:val="0"/>
        <w:spacing w:line="360" w:lineRule="auto"/>
        <w:ind w:left="0" w:firstLine="984" w:firstLineChars="350"/>
        <w:rPr>
          <w:rFonts w:hint="eastAsia" w:ascii="宋体" w:hAnsi="宋体" w:eastAsia="宋体" w:cs="宋体"/>
          <w:b/>
          <w:bCs w:val="0"/>
          <w:kern w:val="2"/>
          <w:sz w:val="28"/>
          <w:szCs w:val="28"/>
        </w:rPr>
      </w:pPr>
      <w:r>
        <w:rPr>
          <w:rFonts w:hint="eastAsia" w:ascii="宋体" w:hAnsi="宋体" w:eastAsia="宋体" w:cs="宋体"/>
          <w:b/>
          <w:bCs w:val="0"/>
          <w:kern w:val="2"/>
          <w:sz w:val="28"/>
          <w:szCs w:val="28"/>
        </w:rPr>
        <w:t>联系电话：</w:t>
      </w:r>
      <w:r>
        <w:rPr>
          <w:rFonts w:hint="eastAsia" w:ascii="宋体" w:hAnsi="宋体" w:eastAsia="宋体" w:cs="宋体"/>
          <w:b/>
          <w:bCs w:val="0"/>
          <w:kern w:val="2"/>
          <w:sz w:val="28"/>
          <w:szCs w:val="28"/>
          <w:u w:val="thick"/>
        </w:rPr>
        <w:t xml:space="preserve">                                         </w:t>
      </w:r>
      <w:r>
        <w:rPr>
          <w:rFonts w:hint="eastAsia" w:ascii="宋体" w:hAnsi="宋体" w:eastAsia="宋体" w:cs="宋体"/>
          <w:b/>
          <w:bCs w:val="0"/>
          <w:kern w:val="2"/>
          <w:sz w:val="28"/>
          <w:szCs w:val="28"/>
        </w:rPr>
        <w:t xml:space="preserve"> </w:t>
      </w:r>
    </w:p>
    <w:p w14:paraId="42174D6E">
      <w:pPr>
        <w:pStyle w:val="7"/>
        <w:keepNext w:val="0"/>
        <w:keepLines w:val="0"/>
        <w:widowControl/>
        <w:suppressLineNumbers w:val="0"/>
        <w:spacing w:line="360" w:lineRule="auto"/>
        <w:ind w:left="0" w:firstLine="984" w:firstLineChars="350"/>
        <w:rPr>
          <w:rFonts w:hint="eastAsia" w:ascii="宋体" w:hAnsi="宋体" w:eastAsia="宋体" w:cs="宋体"/>
          <w:b/>
          <w:bCs w:val="0"/>
          <w:kern w:val="2"/>
          <w:sz w:val="28"/>
          <w:szCs w:val="28"/>
        </w:rPr>
      </w:pPr>
      <w:r>
        <w:rPr>
          <w:rFonts w:hint="eastAsia" w:ascii="宋体" w:hAnsi="宋体" w:eastAsia="宋体" w:cs="宋体"/>
          <w:b/>
          <w:bCs w:val="0"/>
          <w:kern w:val="2"/>
          <w:sz w:val="28"/>
          <w:szCs w:val="28"/>
        </w:rPr>
        <w:t xml:space="preserve"> </w:t>
      </w:r>
    </w:p>
    <w:p w14:paraId="6A5E9AB8">
      <w:pPr>
        <w:pStyle w:val="7"/>
        <w:keepNext w:val="0"/>
        <w:keepLines w:val="0"/>
        <w:widowControl/>
        <w:suppressLineNumbers w:val="0"/>
        <w:spacing w:line="360" w:lineRule="auto"/>
        <w:ind w:left="0" w:firstLine="984" w:firstLineChars="350"/>
        <w:rPr>
          <w:rFonts w:hint="eastAsia" w:ascii="宋体" w:hAnsi="宋体" w:eastAsia="宋体" w:cs="宋体"/>
          <w:b/>
          <w:bCs w:val="0"/>
          <w:kern w:val="2"/>
          <w:sz w:val="28"/>
          <w:szCs w:val="28"/>
        </w:rPr>
      </w:pPr>
      <w:r>
        <w:rPr>
          <w:rFonts w:hint="eastAsia" w:ascii="宋体" w:hAnsi="宋体" w:eastAsia="宋体" w:cs="宋体"/>
          <w:b/>
          <w:bCs w:val="0"/>
          <w:kern w:val="2"/>
          <w:sz w:val="28"/>
          <w:szCs w:val="28"/>
        </w:rPr>
        <w:t xml:space="preserve"> </w:t>
      </w:r>
    </w:p>
    <w:p w14:paraId="19CC66C7">
      <w:pPr>
        <w:pStyle w:val="7"/>
        <w:keepNext w:val="0"/>
        <w:keepLines w:val="0"/>
        <w:widowControl/>
        <w:suppressLineNumbers w:val="0"/>
        <w:spacing w:line="360" w:lineRule="auto"/>
        <w:ind w:left="0" w:firstLine="984" w:firstLineChars="350"/>
        <w:rPr>
          <w:rFonts w:hint="eastAsia" w:ascii="宋体" w:hAnsi="宋体" w:eastAsia="宋体" w:cs="宋体"/>
          <w:b/>
          <w:bCs w:val="0"/>
          <w:kern w:val="2"/>
          <w:sz w:val="28"/>
          <w:szCs w:val="28"/>
        </w:rPr>
      </w:pPr>
      <w:r>
        <w:rPr>
          <w:rFonts w:hint="eastAsia" w:ascii="宋体" w:hAnsi="宋体" w:eastAsia="宋体" w:cs="宋体"/>
          <w:b/>
          <w:bCs w:val="0"/>
          <w:kern w:val="2"/>
          <w:sz w:val="28"/>
          <w:szCs w:val="28"/>
        </w:rPr>
        <w:t xml:space="preserve"> </w:t>
      </w:r>
    </w:p>
    <w:p w14:paraId="365D9B70">
      <w:pPr>
        <w:pStyle w:val="7"/>
        <w:keepNext w:val="0"/>
        <w:keepLines w:val="0"/>
        <w:widowControl/>
        <w:suppressLineNumbers w:val="0"/>
        <w:spacing w:line="360" w:lineRule="auto"/>
        <w:ind w:left="0" w:firstLine="984" w:firstLineChars="350"/>
        <w:rPr>
          <w:rFonts w:hint="eastAsia" w:ascii="宋体" w:hAnsi="宋体" w:eastAsia="宋体" w:cs="宋体"/>
          <w:b/>
          <w:bCs w:val="0"/>
          <w:kern w:val="2"/>
          <w:sz w:val="28"/>
          <w:szCs w:val="28"/>
        </w:rPr>
      </w:pPr>
      <w:r>
        <w:rPr>
          <w:rFonts w:hint="eastAsia" w:ascii="宋体" w:hAnsi="宋体" w:eastAsia="宋体" w:cs="宋体"/>
          <w:b/>
          <w:bCs w:val="0"/>
          <w:kern w:val="2"/>
          <w:sz w:val="28"/>
          <w:szCs w:val="28"/>
        </w:rPr>
        <w:t xml:space="preserve"> </w:t>
      </w:r>
    </w:p>
    <w:p w14:paraId="363C1CA6">
      <w:pPr>
        <w:pStyle w:val="7"/>
        <w:keepNext w:val="0"/>
        <w:keepLines w:val="0"/>
        <w:widowControl/>
        <w:suppressLineNumbers w:val="0"/>
        <w:spacing w:line="360" w:lineRule="auto"/>
        <w:ind w:left="0" w:firstLine="984" w:firstLineChars="350"/>
        <w:rPr>
          <w:rFonts w:hint="eastAsia" w:ascii="宋体" w:hAnsi="宋体" w:eastAsia="宋体" w:cs="宋体"/>
          <w:b/>
          <w:bCs w:val="0"/>
          <w:kern w:val="2"/>
          <w:sz w:val="28"/>
          <w:szCs w:val="28"/>
        </w:rPr>
      </w:pPr>
      <w:r>
        <w:rPr>
          <w:rFonts w:hint="eastAsia" w:ascii="宋体" w:hAnsi="宋体" w:eastAsia="宋体" w:cs="宋体"/>
          <w:b/>
          <w:bCs w:val="0"/>
          <w:kern w:val="2"/>
          <w:sz w:val="28"/>
          <w:szCs w:val="28"/>
        </w:rPr>
        <w:t xml:space="preserve"> </w:t>
      </w:r>
    </w:p>
    <w:p w14:paraId="55020F50">
      <w:pPr>
        <w:keepNext w:val="0"/>
        <w:keepLines w:val="0"/>
        <w:widowControl w:val="0"/>
        <w:suppressLineNumbers w:val="0"/>
        <w:autoSpaceDE w:val="0"/>
        <w:autoSpaceDN w:val="0"/>
        <w:adjustRightInd w:val="0"/>
        <w:spacing w:before="0" w:beforeAutospacing="0" w:after="0" w:afterAutospacing="0" w:line="360" w:lineRule="auto"/>
        <w:ind w:left="0" w:right="0"/>
        <w:jc w:val="both"/>
        <w:outlineLvl w:val="1"/>
        <w:rPr>
          <w:rFonts w:hint="eastAsia" w:ascii="宋体" w:hAnsi="宋体" w:eastAsia="宋体" w:cs="宋体"/>
          <w:kern w:val="2"/>
          <w:sz w:val="21"/>
          <w:szCs w:val="21"/>
        </w:rPr>
      </w:pPr>
      <w:r>
        <w:rPr>
          <w:rFonts w:hint="eastAsia" w:ascii="宋体" w:hAnsi="宋体" w:eastAsia="宋体" w:cs="宋体"/>
          <w:b/>
          <w:bCs w:val="0"/>
          <w:kern w:val="0"/>
          <w:sz w:val="32"/>
          <w:szCs w:val="32"/>
          <w:lang w:val="en-US" w:eastAsia="zh-CN" w:bidi="ar"/>
        </w:rPr>
        <w:t>投标文件目录表</w:t>
      </w:r>
    </w:p>
    <w:tbl>
      <w:tblPr>
        <w:tblStyle w:val="12"/>
        <w:tblW w:w="4998"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Layout w:type="autofit"/>
        <w:tblCellMar>
          <w:top w:w="0" w:type="dxa"/>
          <w:left w:w="108" w:type="dxa"/>
          <w:bottom w:w="0" w:type="dxa"/>
          <w:right w:w="108" w:type="dxa"/>
        </w:tblCellMar>
      </w:tblPr>
      <w:tblGrid>
        <w:gridCol w:w="795"/>
        <w:gridCol w:w="1093"/>
        <w:gridCol w:w="4275"/>
        <w:gridCol w:w="567"/>
        <w:gridCol w:w="604"/>
        <w:gridCol w:w="592"/>
        <w:gridCol w:w="593"/>
      </w:tblGrid>
      <w:tr w14:paraId="09AF1D4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235" w:hRule="atLeast"/>
          <w:jc w:val="center"/>
        </w:trPr>
        <w:tc>
          <w:tcPr>
            <w:tcW w:w="487" w:type="pct"/>
            <w:vMerge w:val="restart"/>
            <w:tcBorders>
              <w:top w:val="single" w:color="auto" w:sz="12" w:space="0"/>
              <w:left w:val="single" w:color="auto" w:sz="12" w:space="0"/>
              <w:bottom w:val="single" w:color="auto" w:sz="2" w:space="0"/>
              <w:right w:val="single" w:color="auto" w:sz="2" w:space="0"/>
            </w:tcBorders>
            <w:shd w:val="clear" w:color="auto" w:fill="auto"/>
            <w:vAlign w:val="center"/>
          </w:tcPr>
          <w:p w14:paraId="305580DF">
            <w:pPr>
              <w:keepNext w:val="0"/>
              <w:keepLines w:val="0"/>
              <w:widowControl w:val="0"/>
              <w:suppressLineNumbers w:val="0"/>
              <w:autoSpaceDE w:val="0"/>
              <w:autoSpaceDN w:val="0"/>
              <w:adjustRightInd w:val="0"/>
              <w:spacing w:before="0" w:beforeAutospacing="0" w:after="0" w:afterAutospacing="0" w:line="360" w:lineRule="atLeast"/>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文件类型</w:t>
            </w:r>
          </w:p>
        </w:tc>
        <w:tc>
          <w:tcPr>
            <w:tcW w:w="518" w:type="pct"/>
            <w:vMerge w:val="restart"/>
            <w:tcBorders>
              <w:top w:val="single" w:color="auto" w:sz="12" w:space="0"/>
              <w:left w:val="nil"/>
              <w:bottom w:val="single" w:color="auto" w:sz="2" w:space="0"/>
              <w:right w:val="single" w:color="auto" w:sz="2" w:space="0"/>
            </w:tcBorders>
            <w:shd w:val="clear" w:color="auto" w:fill="auto"/>
            <w:vAlign w:val="center"/>
          </w:tcPr>
          <w:p w14:paraId="7BF414A2">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序号</w:t>
            </w:r>
          </w:p>
        </w:tc>
        <w:tc>
          <w:tcPr>
            <w:tcW w:w="2529" w:type="pct"/>
            <w:vMerge w:val="restart"/>
            <w:tcBorders>
              <w:top w:val="single" w:color="auto" w:sz="12" w:space="0"/>
              <w:left w:val="nil"/>
              <w:bottom w:val="single" w:color="auto" w:sz="2" w:space="0"/>
              <w:right w:val="single" w:color="auto" w:sz="2" w:space="0"/>
            </w:tcBorders>
            <w:shd w:val="clear" w:color="auto" w:fill="auto"/>
            <w:vAlign w:val="center"/>
          </w:tcPr>
          <w:p w14:paraId="2A3A53DF">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文件名称</w:t>
            </w:r>
          </w:p>
        </w:tc>
        <w:tc>
          <w:tcPr>
            <w:tcW w:w="728" w:type="pct"/>
            <w:gridSpan w:val="2"/>
            <w:tcBorders>
              <w:top w:val="single" w:color="auto" w:sz="12" w:space="0"/>
              <w:left w:val="nil"/>
              <w:bottom w:val="single" w:color="auto" w:sz="2" w:space="0"/>
              <w:right w:val="single" w:color="auto" w:sz="2" w:space="0"/>
            </w:tcBorders>
            <w:shd w:val="clear" w:color="auto" w:fill="auto"/>
            <w:vAlign w:val="center"/>
          </w:tcPr>
          <w:p w14:paraId="506ACD90">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kern w:val="2"/>
                <w:sz w:val="21"/>
                <w:szCs w:val="21"/>
              </w:rPr>
            </w:pPr>
            <w:r>
              <w:rPr>
                <w:rFonts w:hint="eastAsia" w:ascii="宋体" w:hAnsi="宋体" w:eastAsia="宋体" w:cs="宋体"/>
                <w:b/>
                <w:bCs/>
                <w:kern w:val="0"/>
                <w:sz w:val="21"/>
                <w:szCs w:val="21"/>
                <w:lang w:val="en-US" w:eastAsia="zh-CN" w:bidi="ar"/>
              </w:rPr>
              <w:t>提交情况</w:t>
            </w:r>
          </w:p>
        </w:tc>
        <w:tc>
          <w:tcPr>
            <w:tcW w:w="368" w:type="pct"/>
            <w:tcBorders>
              <w:top w:val="single" w:color="auto" w:sz="12" w:space="0"/>
              <w:left w:val="nil"/>
              <w:bottom w:val="single" w:color="auto" w:sz="2" w:space="0"/>
              <w:right w:val="single" w:color="auto" w:sz="2" w:space="0"/>
            </w:tcBorders>
            <w:shd w:val="clear" w:color="auto" w:fill="auto"/>
            <w:vAlign w:val="center"/>
          </w:tcPr>
          <w:p w14:paraId="7DB3E20E">
            <w:pPr>
              <w:keepNext w:val="0"/>
              <w:keepLines w:val="0"/>
              <w:widowControl w:val="0"/>
              <w:suppressLineNumbers w:val="0"/>
              <w:autoSpaceDE w:val="0"/>
              <w:autoSpaceDN w:val="0"/>
              <w:adjustRightInd w:val="0"/>
              <w:spacing w:before="0" w:beforeAutospacing="0" w:after="0" w:afterAutospacing="0" w:line="360" w:lineRule="atLeast"/>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页码</w:t>
            </w:r>
          </w:p>
        </w:tc>
        <w:tc>
          <w:tcPr>
            <w:tcW w:w="368" w:type="pct"/>
            <w:tcBorders>
              <w:top w:val="single" w:color="auto" w:sz="12" w:space="0"/>
              <w:left w:val="nil"/>
              <w:bottom w:val="single" w:color="auto" w:sz="2" w:space="0"/>
              <w:right w:val="single" w:color="auto" w:sz="12" w:space="0"/>
            </w:tcBorders>
            <w:shd w:val="clear" w:color="auto" w:fill="auto"/>
            <w:vAlign w:val="center"/>
          </w:tcPr>
          <w:p w14:paraId="7159241C">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kern w:val="2"/>
                <w:sz w:val="21"/>
                <w:szCs w:val="21"/>
              </w:rPr>
            </w:pPr>
            <w:r>
              <w:rPr>
                <w:rFonts w:hint="eastAsia" w:ascii="宋体" w:hAnsi="宋体" w:eastAsia="宋体" w:cs="宋体"/>
                <w:b/>
                <w:bCs/>
                <w:kern w:val="0"/>
                <w:sz w:val="21"/>
                <w:szCs w:val="21"/>
                <w:lang w:val="en-US" w:eastAsia="zh-CN" w:bidi="ar"/>
              </w:rPr>
              <w:t>备注</w:t>
            </w:r>
          </w:p>
        </w:tc>
      </w:tr>
      <w:tr w14:paraId="4993F3D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208" w:hRule="atLeast"/>
          <w:jc w:val="center"/>
        </w:trPr>
        <w:tc>
          <w:tcPr>
            <w:tcW w:w="487" w:type="pct"/>
            <w:vMerge w:val="continue"/>
            <w:tcBorders>
              <w:top w:val="single" w:color="auto" w:sz="12" w:space="0"/>
              <w:left w:val="single" w:color="auto" w:sz="12" w:space="0"/>
              <w:bottom w:val="single" w:color="auto" w:sz="2" w:space="0"/>
              <w:right w:val="single" w:color="auto" w:sz="2" w:space="0"/>
            </w:tcBorders>
            <w:shd w:val="clear" w:color="auto" w:fill="auto"/>
            <w:vAlign w:val="center"/>
          </w:tcPr>
          <w:p w14:paraId="0841AB5F">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518" w:type="pct"/>
            <w:vMerge w:val="continue"/>
            <w:tcBorders>
              <w:top w:val="single" w:color="auto" w:sz="12" w:space="0"/>
              <w:left w:val="nil"/>
              <w:bottom w:val="single" w:color="auto" w:sz="2" w:space="0"/>
              <w:right w:val="single" w:color="auto" w:sz="2" w:space="0"/>
            </w:tcBorders>
            <w:shd w:val="clear" w:color="auto" w:fill="auto"/>
            <w:vAlign w:val="center"/>
          </w:tcPr>
          <w:p w14:paraId="1E65FD3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529" w:type="pct"/>
            <w:vMerge w:val="continue"/>
            <w:tcBorders>
              <w:top w:val="single" w:color="auto" w:sz="12" w:space="0"/>
              <w:left w:val="nil"/>
              <w:bottom w:val="single" w:color="auto" w:sz="2" w:space="0"/>
              <w:right w:val="single" w:color="auto" w:sz="2" w:space="0"/>
            </w:tcBorders>
            <w:shd w:val="clear" w:color="auto" w:fill="auto"/>
            <w:vAlign w:val="center"/>
          </w:tcPr>
          <w:p w14:paraId="4C726AF7">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53" w:type="pct"/>
            <w:tcBorders>
              <w:top w:val="single" w:color="auto" w:sz="2" w:space="0"/>
              <w:left w:val="nil"/>
              <w:bottom w:val="single" w:color="auto" w:sz="2" w:space="0"/>
              <w:right w:val="single" w:color="auto" w:sz="2" w:space="0"/>
            </w:tcBorders>
            <w:shd w:val="clear" w:color="auto" w:fill="auto"/>
            <w:vAlign w:val="center"/>
          </w:tcPr>
          <w:p w14:paraId="72DE83F0">
            <w:pPr>
              <w:keepNext w:val="0"/>
              <w:keepLines w:val="0"/>
              <w:widowControl w:val="0"/>
              <w:suppressLineNumbers w:val="0"/>
              <w:autoSpaceDE w:val="0"/>
              <w:autoSpaceDN w:val="0"/>
              <w:adjustRightInd w:val="0"/>
              <w:spacing w:before="0" w:beforeAutospacing="0" w:after="0" w:afterAutospacing="0" w:line="360" w:lineRule="atLeast"/>
              <w:ind w:left="0" w:right="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有</w:t>
            </w:r>
          </w:p>
        </w:tc>
        <w:tc>
          <w:tcPr>
            <w:tcW w:w="375" w:type="pct"/>
            <w:tcBorders>
              <w:top w:val="single" w:color="auto" w:sz="2" w:space="0"/>
              <w:left w:val="nil"/>
              <w:bottom w:val="single" w:color="auto" w:sz="2" w:space="0"/>
              <w:right w:val="single" w:color="auto" w:sz="2" w:space="0"/>
            </w:tcBorders>
            <w:shd w:val="clear" w:color="auto" w:fill="auto"/>
            <w:vAlign w:val="center"/>
          </w:tcPr>
          <w:p w14:paraId="65EBAC74">
            <w:pPr>
              <w:keepNext w:val="0"/>
              <w:keepLines w:val="0"/>
              <w:widowControl w:val="0"/>
              <w:suppressLineNumbers w:val="0"/>
              <w:autoSpaceDE w:val="0"/>
              <w:autoSpaceDN w:val="0"/>
              <w:adjustRightInd w:val="0"/>
              <w:spacing w:before="0" w:beforeAutospacing="0" w:after="0" w:afterAutospacing="0" w:line="360" w:lineRule="atLeast"/>
              <w:ind w:left="0" w:right="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无</w:t>
            </w:r>
          </w:p>
        </w:tc>
        <w:tc>
          <w:tcPr>
            <w:tcW w:w="368" w:type="pct"/>
            <w:tcBorders>
              <w:top w:val="single" w:color="auto" w:sz="2" w:space="0"/>
              <w:left w:val="nil"/>
              <w:bottom w:val="single" w:color="auto" w:sz="2" w:space="0"/>
              <w:right w:val="single" w:color="auto" w:sz="2" w:space="0"/>
            </w:tcBorders>
            <w:shd w:val="clear" w:color="auto" w:fill="auto"/>
            <w:vAlign w:val="center"/>
          </w:tcPr>
          <w:p w14:paraId="62825600">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12" w:space="0"/>
            </w:tcBorders>
            <w:shd w:val="clear" w:color="auto" w:fill="auto"/>
            <w:vAlign w:val="center"/>
          </w:tcPr>
          <w:p w14:paraId="25D4F1C4">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r>
      <w:tr w14:paraId="0B014CE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321" w:hRule="atLeast"/>
          <w:jc w:val="center"/>
        </w:trPr>
        <w:tc>
          <w:tcPr>
            <w:tcW w:w="487" w:type="pct"/>
            <w:vMerge w:val="restart"/>
            <w:tcBorders>
              <w:top w:val="nil"/>
              <w:left w:val="single" w:color="auto" w:sz="12" w:space="0"/>
              <w:bottom w:val="single" w:color="auto" w:sz="2" w:space="0"/>
              <w:right w:val="single" w:color="auto" w:sz="2" w:space="0"/>
            </w:tcBorders>
            <w:shd w:val="clear" w:color="auto" w:fill="auto"/>
            <w:vAlign w:val="center"/>
          </w:tcPr>
          <w:p w14:paraId="12A33331">
            <w:pPr>
              <w:keepNext w:val="0"/>
              <w:keepLines w:val="0"/>
              <w:widowControl w:val="0"/>
              <w:suppressLineNumbers w:val="0"/>
              <w:autoSpaceDE w:val="0"/>
              <w:autoSpaceDN w:val="0"/>
              <w:adjustRightInd w:val="0"/>
              <w:spacing w:before="0" w:beforeAutospacing="0" w:after="0" w:afterAutospacing="0" w:line="360" w:lineRule="atLeast"/>
              <w:ind w:left="0" w:right="0"/>
              <w:jc w:val="center"/>
              <w:rPr>
                <w:rFonts w:hint="eastAsia" w:ascii="宋体" w:hAnsi="宋体" w:eastAsia="宋体" w:cs="宋体"/>
                <w:b/>
                <w:bCs w:val="0"/>
                <w:kern w:val="0"/>
                <w:sz w:val="21"/>
                <w:szCs w:val="21"/>
              </w:rPr>
            </w:pPr>
            <w:r>
              <w:rPr>
                <w:rFonts w:hint="eastAsia" w:ascii="宋体" w:hAnsi="宋体" w:eastAsia="宋体" w:cs="宋体"/>
                <w:b/>
                <w:bCs w:val="0"/>
                <w:kern w:val="0"/>
                <w:sz w:val="21"/>
                <w:szCs w:val="21"/>
                <w:lang w:val="en-US" w:eastAsia="zh-CN" w:bidi="ar"/>
              </w:rPr>
              <w:t>资格性和符合性文件</w:t>
            </w:r>
          </w:p>
        </w:tc>
        <w:tc>
          <w:tcPr>
            <w:tcW w:w="518" w:type="pct"/>
            <w:tcBorders>
              <w:top w:val="single" w:color="auto" w:sz="2" w:space="0"/>
              <w:left w:val="nil"/>
              <w:bottom w:val="single" w:color="auto" w:sz="2" w:space="0"/>
              <w:right w:val="single" w:color="auto" w:sz="2" w:space="0"/>
            </w:tcBorders>
            <w:shd w:val="clear" w:color="auto" w:fill="auto"/>
            <w:vAlign w:val="center"/>
          </w:tcPr>
          <w:p w14:paraId="7DB11AD3">
            <w:pPr>
              <w:keepNext w:val="0"/>
              <w:keepLines w:val="0"/>
              <w:widowControl w:val="0"/>
              <w:suppressLineNumbers w:val="0"/>
              <w:autoSpaceDE w:val="0"/>
              <w:autoSpaceDN w:val="0"/>
              <w:adjustRightInd w:val="0"/>
              <w:spacing w:before="0" w:beforeAutospacing="0" w:after="0" w:afterAutospacing="0" w:line="360" w:lineRule="atLeast"/>
              <w:ind w:left="703" w:leftChars="0" w:right="0" w:hanging="420" w:firstLineChars="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1</w:t>
            </w:r>
          </w:p>
        </w:tc>
        <w:tc>
          <w:tcPr>
            <w:tcW w:w="2529" w:type="pct"/>
            <w:tcBorders>
              <w:top w:val="single" w:color="auto" w:sz="2" w:space="0"/>
              <w:left w:val="nil"/>
              <w:bottom w:val="single" w:color="auto" w:sz="2" w:space="0"/>
              <w:right w:val="single" w:color="auto" w:sz="2" w:space="0"/>
            </w:tcBorders>
            <w:shd w:val="clear" w:color="auto" w:fill="auto"/>
            <w:vAlign w:val="center"/>
          </w:tcPr>
          <w:p w14:paraId="0D19F88C">
            <w:pPr>
              <w:keepNext w:val="0"/>
              <w:keepLines w:val="0"/>
              <w:widowControl w:val="0"/>
              <w:suppressLineNumbers w:val="0"/>
              <w:autoSpaceDE w:val="0"/>
              <w:autoSpaceDN w:val="0"/>
              <w:adjustRightInd w:val="0"/>
              <w:spacing w:before="0" w:beforeAutospacing="0" w:after="0" w:afterAutospacing="0" w:line="360" w:lineRule="atLeast"/>
              <w:ind w:left="0" w:leftChars="0" w:right="0" w:firstLine="0" w:firstLineChars="0"/>
              <w:jc w:val="both"/>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资格性自查表及所需的各个文件</w:t>
            </w:r>
          </w:p>
        </w:tc>
        <w:tc>
          <w:tcPr>
            <w:tcW w:w="353" w:type="pct"/>
            <w:tcBorders>
              <w:top w:val="single" w:color="auto" w:sz="2" w:space="0"/>
              <w:left w:val="nil"/>
              <w:bottom w:val="single" w:color="auto" w:sz="2" w:space="0"/>
              <w:right w:val="single" w:color="auto" w:sz="2" w:space="0"/>
            </w:tcBorders>
            <w:shd w:val="clear" w:color="auto" w:fill="auto"/>
            <w:vAlign w:val="center"/>
          </w:tcPr>
          <w:p w14:paraId="6060C710">
            <w:pPr>
              <w:keepNext w:val="0"/>
              <w:keepLines w:val="0"/>
              <w:widowControl w:val="0"/>
              <w:suppressLineNumbers w:val="0"/>
              <w:autoSpaceDE w:val="0"/>
              <w:autoSpaceDN w:val="0"/>
              <w:adjustRightInd w:val="0"/>
              <w:spacing w:before="0" w:beforeAutospacing="0" w:after="0" w:afterAutospacing="0" w:line="360" w:lineRule="atLeast"/>
              <w:ind w:left="630" w:leftChars="0" w:right="0" w:firstLine="0" w:firstLineChars="0"/>
              <w:jc w:val="center"/>
              <w:rPr>
                <w:rFonts w:hint="eastAsia" w:ascii="宋体" w:hAnsi="宋体" w:eastAsia="宋体" w:cs="宋体"/>
                <w:kern w:val="0"/>
                <w:sz w:val="21"/>
                <w:szCs w:val="21"/>
              </w:rPr>
            </w:pPr>
          </w:p>
        </w:tc>
        <w:tc>
          <w:tcPr>
            <w:tcW w:w="375" w:type="pct"/>
            <w:tcBorders>
              <w:top w:val="single" w:color="auto" w:sz="2" w:space="0"/>
              <w:left w:val="nil"/>
              <w:bottom w:val="single" w:color="auto" w:sz="2" w:space="0"/>
              <w:right w:val="single" w:color="auto" w:sz="2" w:space="0"/>
            </w:tcBorders>
            <w:shd w:val="clear" w:color="auto" w:fill="auto"/>
            <w:vAlign w:val="center"/>
          </w:tcPr>
          <w:p w14:paraId="4499D8BE">
            <w:pPr>
              <w:keepNext w:val="0"/>
              <w:keepLines w:val="0"/>
              <w:widowControl w:val="0"/>
              <w:suppressLineNumbers w:val="0"/>
              <w:autoSpaceDE w:val="0"/>
              <w:autoSpaceDN w:val="0"/>
              <w:adjustRightInd w:val="0"/>
              <w:spacing w:before="0" w:beforeAutospacing="0" w:after="0" w:afterAutospacing="0" w:line="360" w:lineRule="atLeast"/>
              <w:ind w:left="630" w:leftChars="0" w:right="0" w:firstLine="0" w:firstLineChars="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2" w:space="0"/>
            </w:tcBorders>
            <w:shd w:val="clear" w:color="auto" w:fill="auto"/>
            <w:vAlign w:val="center"/>
          </w:tcPr>
          <w:p w14:paraId="1C9A1176">
            <w:pPr>
              <w:keepNext w:val="0"/>
              <w:keepLines w:val="0"/>
              <w:widowControl w:val="0"/>
              <w:suppressLineNumbers w:val="0"/>
              <w:autoSpaceDE w:val="0"/>
              <w:autoSpaceDN w:val="0"/>
              <w:adjustRightInd w:val="0"/>
              <w:spacing w:before="0" w:beforeAutospacing="0" w:after="0" w:afterAutospacing="0" w:line="360" w:lineRule="atLeast"/>
              <w:ind w:left="630" w:leftChars="0" w:right="0" w:firstLine="0" w:firstLineChars="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12" w:space="0"/>
            </w:tcBorders>
            <w:shd w:val="clear" w:color="auto" w:fill="auto"/>
            <w:vAlign w:val="center"/>
          </w:tcPr>
          <w:p w14:paraId="648D2134">
            <w:pPr>
              <w:keepNext w:val="0"/>
              <w:keepLines w:val="0"/>
              <w:widowControl w:val="0"/>
              <w:suppressLineNumbers w:val="0"/>
              <w:autoSpaceDE w:val="0"/>
              <w:autoSpaceDN w:val="0"/>
              <w:adjustRightInd w:val="0"/>
              <w:spacing w:before="0" w:beforeAutospacing="0" w:after="0" w:afterAutospacing="0" w:line="360" w:lineRule="atLeast"/>
              <w:ind w:left="630" w:leftChars="0" w:right="0" w:firstLine="0" w:firstLineChars="0"/>
              <w:jc w:val="center"/>
              <w:rPr>
                <w:rFonts w:hint="eastAsia" w:ascii="宋体" w:hAnsi="宋体" w:eastAsia="宋体" w:cs="宋体"/>
                <w:kern w:val="0"/>
                <w:sz w:val="21"/>
                <w:szCs w:val="21"/>
              </w:rPr>
            </w:pPr>
          </w:p>
        </w:tc>
      </w:tr>
      <w:tr w14:paraId="0C21CE4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321" w:hRule="atLeast"/>
          <w:jc w:val="center"/>
        </w:trPr>
        <w:tc>
          <w:tcPr>
            <w:tcW w:w="487" w:type="pct"/>
            <w:vMerge w:val="continue"/>
            <w:tcBorders>
              <w:top w:val="nil"/>
              <w:left w:val="single" w:color="auto" w:sz="12" w:space="0"/>
              <w:bottom w:val="single" w:color="auto" w:sz="2" w:space="0"/>
              <w:right w:val="single" w:color="auto" w:sz="2" w:space="0"/>
            </w:tcBorders>
            <w:shd w:val="clear" w:color="auto" w:fill="auto"/>
            <w:vAlign w:val="center"/>
          </w:tcPr>
          <w:p w14:paraId="2D80BAC3">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518" w:type="pct"/>
            <w:tcBorders>
              <w:top w:val="single" w:color="auto" w:sz="2" w:space="0"/>
              <w:left w:val="nil"/>
              <w:bottom w:val="single" w:color="auto" w:sz="2" w:space="0"/>
              <w:right w:val="single" w:color="auto" w:sz="2" w:space="0"/>
            </w:tcBorders>
            <w:shd w:val="clear" w:color="auto" w:fill="auto"/>
            <w:vAlign w:val="center"/>
          </w:tcPr>
          <w:p w14:paraId="3E19961C">
            <w:pPr>
              <w:keepNext w:val="0"/>
              <w:keepLines w:val="0"/>
              <w:widowControl w:val="0"/>
              <w:suppressLineNumbers w:val="0"/>
              <w:autoSpaceDE w:val="0"/>
              <w:autoSpaceDN w:val="0"/>
              <w:adjustRightInd w:val="0"/>
              <w:spacing w:before="0" w:beforeAutospacing="0" w:after="0" w:afterAutospacing="0" w:line="360" w:lineRule="atLeast"/>
              <w:ind w:left="703" w:leftChars="0" w:right="0" w:hanging="420" w:firstLineChars="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2</w:t>
            </w:r>
          </w:p>
        </w:tc>
        <w:tc>
          <w:tcPr>
            <w:tcW w:w="2529" w:type="pct"/>
            <w:tcBorders>
              <w:top w:val="single" w:color="auto" w:sz="2" w:space="0"/>
              <w:left w:val="nil"/>
              <w:bottom w:val="single" w:color="auto" w:sz="2" w:space="0"/>
              <w:right w:val="single" w:color="auto" w:sz="2" w:space="0"/>
            </w:tcBorders>
            <w:shd w:val="clear" w:color="auto" w:fill="auto"/>
            <w:vAlign w:val="center"/>
          </w:tcPr>
          <w:p w14:paraId="7DC75E75">
            <w:pPr>
              <w:keepNext w:val="0"/>
              <w:keepLines w:val="0"/>
              <w:widowControl w:val="0"/>
              <w:suppressLineNumbers w:val="0"/>
              <w:autoSpaceDE w:val="0"/>
              <w:autoSpaceDN w:val="0"/>
              <w:adjustRightInd w:val="0"/>
              <w:spacing w:before="0" w:beforeAutospacing="0" w:after="0" w:afterAutospacing="0" w:line="360" w:lineRule="atLeast"/>
              <w:ind w:left="0" w:leftChars="0" w:right="0" w:firstLine="0" w:firstLineChars="0"/>
              <w:jc w:val="both"/>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符合性自查表及所需的各个文件</w:t>
            </w:r>
          </w:p>
        </w:tc>
        <w:tc>
          <w:tcPr>
            <w:tcW w:w="353" w:type="pct"/>
            <w:tcBorders>
              <w:top w:val="single" w:color="auto" w:sz="2" w:space="0"/>
              <w:left w:val="nil"/>
              <w:bottom w:val="single" w:color="auto" w:sz="2" w:space="0"/>
              <w:right w:val="single" w:color="auto" w:sz="2" w:space="0"/>
            </w:tcBorders>
            <w:shd w:val="clear" w:color="auto" w:fill="auto"/>
            <w:vAlign w:val="center"/>
          </w:tcPr>
          <w:p w14:paraId="4EA73C9A">
            <w:pPr>
              <w:keepNext w:val="0"/>
              <w:keepLines w:val="0"/>
              <w:widowControl w:val="0"/>
              <w:suppressLineNumbers w:val="0"/>
              <w:autoSpaceDE w:val="0"/>
              <w:autoSpaceDN w:val="0"/>
              <w:adjustRightInd w:val="0"/>
              <w:spacing w:before="0" w:beforeAutospacing="0" w:after="0" w:afterAutospacing="0" w:line="360" w:lineRule="atLeast"/>
              <w:ind w:left="630" w:leftChars="0" w:right="0" w:firstLine="0" w:firstLineChars="0"/>
              <w:jc w:val="center"/>
              <w:rPr>
                <w:rFonts w:hint="eastAsia" w:ascii="宋体" w:hAnsi="宋体" w:eastAsia="宋体" w:cs="宋体"/>
                <w:kern w:val="0"/>
                <w:sz w:val="21"/>
                <w:szCs w:val="21"/>
              </w:rPr>
            </w:pPr>
          </w:p>
        </w:tc>
        <w:tc>
          <w:tcPr>
            <w:tcW w:w="375" w:type="pct"/>
            <w:tcBorders>
              <w:top w:val="single" w:color="auto" w:sz="2" w:space="0"/>
              <w:left w:val="nil"/>
              <w:bottom w:val="single" w:color="auto" w:sz="2" w:space="0"/>
              <w:right w:val="single" w:color="auto" w:sz="2" w:space="0"/>
            </w:tcBorders>
            <w:shd w:val="clear" w:color="auto" w:fill="auto"/>
            <w:vAlign w:val="center"/>
          </w:tcPr>
          <w:p w14:paraId="6B41DC90">
            <w:pPr>
              <w:keepNext w:val="0"/>
              <w:keepLines w:val="0"/>
              <w:widowControl w:val="0"/>
              <w:suppressLineNumbers w:val="0"/>
              <w:autoSpaceDE w:val="0"/>
              <w:autoSpaceDN w:val="0"/>
              <w:adjustRightInd w:val="0"/>
              <w:spacing w:before="0" w:beforeAutospacing="0" w:after="0" w:afterAutospacing="0" w:line="360" w:lineRule="atLeast"/>
              <w:ind w:left="630" w:leftChars="0" w:right="0" w:firstLine="0" w:firstLineChars="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2" w:space="0"/>
            </w:tcBorders>
            <w:shd w:val="clear" w:color="auto" w:fill="auto"/>
            <w:vAlign w:val="center"/>
          </w:tcPr>
          <w:p w14:paraId="71752C86">
            <w:pPr>
              <w:keepNext w:val="0"/>
              <w:keepLines w:val="0"/>
              <w:widowControl w:val="0"/>
              <w:suppressLineNumbers w:val="0"/>
              <w:autoSpaceDE w:val="0"/>
              <w:autoSpaceDN w:val="0"/>
              <w:adjustRightInd w:val="0"/>
              <w:spacing w:before="0" w:beforeAutospacing="0" w:after="0" w:afterAutospacing="0" w:line="360" w:lineRule="atLeast"/>
              <w:ind w:left="630" w:leftChars="0" w:right="0" w:firstLine="0" w:firstLineChars="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12" w:space="0"/>
            </w:tcBorders>
            <w:shd w:val="clear" w:color="auto" w:fill="auto"/>
            <w:vAlign w:val="center"/>
          </w:tcPr>
          <w:p w14:paraId="0A13749E">
            <w:pPr>
              <w:keepNext w:val="0"/>
              <w:keepLines w:val="0"/>
              <w:widowControl w:val="0"/>
              <w:suppressLineNumbers w:val="0"/>
              <w:autoSpaceDE w:val="0"/>
              <w:autoSpaceDN w:val="0"/>
              <w:adjustRightInd w:val="0"/>
              <w:spacing w:before="0" w:beforeAutospacing="0" w:after="0" w:afterAutospacing="0" w:line="360" w:lineRule="atLeast"/>
              <w:ind w:left="630" w:leftChars="0" w:right="0" w:firstLine="0" w:firstLineChars="0"/>
              <w:jc w:val="center"/>
              <w:rPr>
                <w:rFonts w:hint="eastAsia" w:ascii="宋体" w:hAnsi="宋体" w:eastAsia="宋体" w:cs="宋体"/>
                <w:kern w:val="0"/>
                <w:sz w:val="21"/>
                <w:szCs w:val="21"/>
              </w:rPr>
            </w:pPr>
          </w:p>
        </w:tc>
      </w:tr>
      <w:tr w14:paraId="4802D73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321" w:hRule="atLeast"/>
          <w:jc w:val="center"/>
        </w:trPr>
        <w:tc>
          <w:tcPr>
            <w:tcW w:w="487" w:type="pct"/>
            <w:vMerge w:val="continue"/>
            <w:tcBorders>
              <w:top w:val="nil"/>
              <w:left w:val="single" w:color="auto" w:sz="12" w:space="0"/>
              <w:bottom w:val="single" w:color="auto" w:sz="2" w:space="0"/>
              <w:right w:val="single" w:color="auto" w:sz="2" w:space="0"/>
            </w:tcBorders>
            <w:shd w:val="clear" w:color="auto" w:fill="auto"/>
            <w:vAlign w:val="center"/>
          </w:tcPr>
          <w:p w14:paraId="354F5B7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518" w:type="pct"/>
            <w:tcBorders>
              <w:top w:val="single" w:color="auto" w:sz="2" w:space="0"/>
              <w:left w:val="nil"/>
              <w:bottom w:val="single" w:color="auto" w:sz="2" w:space="0"/>
              <w:right w:val="single" w:color="auto" w:sz="2" w:space="0"/>
            </w:tcBorders>
            <w:shd w:val="clear" w:color="auto" w:fill="auto"/>
            <w:vAlign w:val="center"/>
          </w:tcPr>
          <w:p w14:paraId="55A43ABD">
            <w:pPr>
              <w:keepNext w:val="0"/>
              <w:keepLines w:val="0"/>
              <w:widowControl w:val="0"/>
              <w:suppressLineNumbers w:val="0"/>
              <w:autoSpaceDE w:val="0"/>
              <w:autoSpaceDN w:val="0"/>
              <w:adjustRightInd w:val="0"/>
              <w:spacing w:before="0" w:beforeAutospacing="0" w:after="0" w:afterAutospacing="0" w:line="360" w:lineRule="atLeast"/>
              <w:ind w:left="0" w:right="0" w:firstLine="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3</w:t>
            </w:r>
          </w:p>
        </w:tc>
        <w:tc>
          <w:tcPr>
            <w:tcW w:w="2529" w:type="pct"/>
            <w:tcBorders>
              <w:top w:val="single" w:color="auto" w:sz="2" w:space="0"/>
              <w:left w:val="nil"/>
              <w:bottom w:val="single" w:color="auto" w:sz="2" w:space="0"/>
              <w:right w:val="single" w:color="auto" w:sz="2" w:space="0"/>
            </w:tcBorders>
            <w:shd w:val="clear" w:color="auto" w:fill="auto"/>
            <w:vAlign w:val="center"/>
          </w:tcPr>
          <w:p w14:paraId="69A32F45">
            <w:pPr>
              <w:keepNext w:val="0"/>
              <w:keepLines w:val="0"/>
              <w:widowControl w:val="0"/>
              <w:suppressLineNumbers w:val="0"/>
              <w:autoSpaceDE w:val="0"/>
              <w:autoSpaceDN w:val="0"/>
              <w:adjustRightInd w:val="0"/>
              <w:spacing w:before="0" w:beforeAutospacing="0" w:after="0" w:afterAutospacing="0" w:line="360" w:lineRule="atLeast"/>
              <w:ind w:left="0" w:right="0"/>
              <w:jc w:val="both"/>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投标承诺函</w:t>
            </w:r>
          </w:p>
        </w:tc>
        <w:tc>
          <w:tcPr>
            <w:tcW w:w="353" w:type="pct"/>
            <w:tcBorders>
              <w:top w:val="single" w:color="auto" w:sz="2" w:space="0"/>
              <w:left w:val="nil"/>
              <w:bottom w:val="single" w:color="auto" w:sz="2" w:space="0"/>
              <w:right w:val="single" w:color="auto" w:sz="2" w:space="0"/>
            </w:tcBorders>
            <w:shd w:val="clear" w:color="auto" w:fill="auto"/>
            <w:vAlign w:val="center"/>
          </w:tcPr>
          <w:p w14:paraId="5CB2366F">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75" w:type="pct"/>
            <w:tcBorders>
              <w:top w:val="single" w:color="auto" w:sz="2" w:space="0"/>
              <w:left w:val="nil"/>
              <w:bottom w:val="single" w:color="auto" w:sz="2" w:space="0"/>
              <w:right w:val="single" w:color="auto" w:sz="2" w:space="0"/>
            </w:tcBorders>
            <w:shd w:val="clear" w:color="auto" w:fill="auto"/>
            <w:vAlign w:val="center"/>
          </w:tcPr>
          <w:p w14:paraId="4F2CFE55">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2" w:space="0"/>
            </w:tcBorders>
            <w:shd w:val="clear" w:color="auto" w:fill="auto"/>
            <w:vAlign w:val="center"/>
          </w:tcPr>
          <w:p w14:paraId="18373D81">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12" w:space="0"/>
            </w:tcBorders>
            <w:shd w:val="clear" w:color="auto" w:fill="auto"/>
            <w:vAlign w:val="center"/>
          </w:tcPr>
          <w:p w14:paraId="6F9D3EE5">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r>
      <w:tr w14:paraId="3ADA1C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321" w:hRule="atLeast"/>
          <w:jc w:val="center"/>
        </w:trPr>
        <w:tc>
          <w:tcPr>
            <w:tcW w:w="487" w:type="pct"/>
            <w:vMerge w:val="continue"/>
            <w:tcBorders>
              <w:top w:val="nil"/>
              <w:left w:val="single" w:color="auto" w:sz="12" w:space="0"/>
              <w:bottom w:val="single" w:color="auto" w:sz="2" w:space="0"/>
              <w:right w:val="single" w:color="auto" w:sz="2" w:space="0"/>
            </w:tcBorders>
            <w:shd w:val="clear" w:color="auto" w:fill="auto"/>
            <w:vAlign w:val="center"/>
          </w:tcPr>
          <w:p w14:paraId="23FFBB0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518" w:type="pct"/>
            <w:tcBorders>
              <w:top w:val="single" w:color="auto" w:sz="2" w:space="0"/>
              <w:left w:val="nil"/>
              <w:bottom w:val="single" w:color="auto" w:sz="2" w:space="0"/>
              <w:right w:val="single" w:color="auto" w:sz="2" w:space="0"/>
            </w:tcBorders>
            <w:shd w:val="clear" w:color="auto" w:fill="auto"/>
            <w:vAlign w:val="center"/>
          </w:tcPr>
          <w:p w14:paraId="5BC5B23B">
            <w:pPr>
              <w:keepNext w:val="0"/>
              <w:keepLines w:val="0"/>
              <w:widowControl w:val="0"/>
              <w:suppressLineNumbers w:val="0"/>
              <w:autoSpaceDE w:val="0"/>
              <w:autoSpaceDN w:val="0"/>
              <w:adjustRightInd w:val="0"/>
              <w:spacing w:before="0" w:beforeAutospacing="0" w:after="0" w:afterAutospacing="0" w:line="360" w:lineRule="atLeast"/>
              <w:ind w:left="0" w:right="0" w:firstLine="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4</w:t>
            </w:r>
          </w:p>
        </w:tc>
        <w:tc>
          <w:tcPr>
            <w:tcW w:w="2529" w:type="pct"/>
            <w:tcBorders>
              <w:top w:val="single" w:color="auto" w:sz="2" w:space="0"/>
              <w:left w:val="nil"/>
              <w:bottom w:val="single" w:color="auto" w:sz="2" w:space="0"/>
              <w:right w:val="single" w:color="auto" w:sz="2" w:space="0"/>
            </w:tcBorders>
            <w:shd w:val="clear" w:color="auto" w:fill="auto"/>
            <w:vAlign w:val="center"/>
          </w:tcPr>
          <w:p w14:paraId="4C6ED084">
            <w:pPr>
              <w:keepNext w:val="0"/>
              <w:keepLines w:val="0"/>
              <w:widowControl w:val="0"/>
              <w:suppressLineNumbers w:val="0"/>
              <w:autoSpaceDE w:val="0"/>
              <w:autoSpaceDN w:val="0"/>
              <w:adjustRightInd w:val="0"/>
              <w:spacing w:before="0" w:beforeAutospacing="0" w:after="0" w:afterAutospacing="0" w:line="360" w:lineRule="atLeast"/>
              <w:ind w:left="0" w:right="0"/>
              <w:jc w:val="left"/>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资格文件声明函</w:t>
            </w:r>
          </w:p>
        </w:tc>
        <w:tc>
          <w:tcPr>
            <w:tcW w:w="353" w:type="pct"/>
            <w:tcBorders>
              <w:top w:val="single" w:color="auto" w:sz="2" w:space="0"/>
              <w:left w:val="nil"/>
              <w:bottom w:val="single" w:color="auto" w:sz="2" w:space="0"/>
              <w:right w:val="single" w:color="auto" w:sz="2" w:space="0"/>
            </w:tcBorders>
            <w:shd w:val="clear" w:color="auto" w:fill="auto"/>
            <w:vAlign w:val="center"/>
          </w:tcPr>
          <w:p w14:paraId="4C6EFF13">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75" w:type="pct"/>
            <w:tcBorders>
              <w:top w:val="single" w:color="auto" w:sz="2" w:space="0"/>
              <w:left w:val="nil"/>
              <w:bottom w:val="single" w:color="auto" w:sz="2" w:space="0"/>
              <w:right w:val="single" w:color="auto" w:sz="2" w:space="0"/>
            </w:tcBorders>
            <w:shd w:val="clear" w:color="auto" w:fill="auto"/>
            <w:vAlign w:val="center"/>
          </w:tcPr>
          <w:p w14:paraId="223D3CA0">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2" w:space="0"/>
            </w:tcBorders>
            <w:shd w:val="clear" w:color="auto" w:fill="auto"/>
            <w:vAlign w:val="center"/>
          </w:tcPr>
          <w:p w14:paraId="4A9C693B">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12" w:space="0"/>
            </w:tcBorders>
            <w:shd w:val="clear" w:color="auto" w:fill="auto"/>
            <w:vAlign w:val="center"/>
          </w:tcPr>
          <w:p w14:paraId="3060B6E6">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r>
      <w:tr w14:paraId="26A655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321" w:hRule="atLeast"/>
          <w:jc w:val="center"/>
        </w:trPr>
        <w:tc>
          <w:tcPr>
            <w:tcW w:w="487" w:type="pct"/>
            <w:vMerge w:val="continue"/>
            <w:tcBorders>
              <w:top w:val="nil"/>
              <w:left w:val="single" w:color="auto" w:sz="12" w:space="0"/>
              <w:bottom w:val="single" w:color="auto" w:sz="2" w:space="0"/>
              <w:right w:val="single" w:color="auto" w:sz="2" w:space="0"/>
            </w:tcBorders>
            <w:shd w:val="clear" w:color="auto" w:fill="auto"/>
            <w:vAlign w:val="center"/>
          </w:tcPr>
          <w:p w14:paraId="29A0DCF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518" w:type="pct"/>
            <w:tcBorders>
              <w:top w:val="single" w:color="auto" w:sz="2" w:space="0"/>
              <w:left w:val="nil"/>
              <w:bottom w:val="single" w:color="auto" w:sz="2" w:space="0"/>
              <w:right w:val="single" w:color="auto" w:sz="2" w:space="0"/>
            </w:tcBorders>
            <w:shd w:val="clear" w:color="auto" w:fill="auto"/>
            <w:vAlign w:val="center"/>
          </w:tcPr>
          <w:p w14:paraId="36156A95">
            <w:pPr>
              <w:keepNext w:val="0"/>
              <w:keepLines w:val="0"/>
              <w:widowControl w:val="0"/>
              <w:suppressLineNumbers w:val="0"/>
              <w:autoSpaceDE w:val="0"/>
              <w:autoSpaceDN w:val="0"/>
              <w:adjustRightInd w:val="0"/>
              <w:spacing w:before="0" w:beforeAutospacing="0" w:after="0" w:afterAutospacing="0" w:line="360" w:lineRule="atLeast"/>
              <w:ind w:left="0" w:right="0" w:firstLine="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5</w:t>
            </w:r>
          </w:p>
        </w:tc>
        <w:tc>
          <w:tcPr>
            <w:tcW w:w="2529" w:type="pct"/>
            <w:tcBorders>
              <w:top w:val="single" w:color="auto" w:sz="2" w:space="0"/>
              <w:left w:val="nil"/>
              <w:bottom w:val="single" w:color="auto" w:sz="2" w:space="0"/>
              <w:right w:val="single" w:color="auto" w:sz="2" w:space="0"/>
            </w:tcBorders>
            <w:shd w:val="clear" w:color="auto" w:fill="auto"/>
            <w:vAlign w:val="center"/>
          </w:tcPr>
          <w:p w14:paraId="59E698FA">
            <w:pPr>
              <w:keepNext w:val="0"/>
              <w:keepLines w:val="0"/>
              <w:widowControl w:val="0"/>
              <w:suppressLineNumbers w:val="0"/>
              <w:autoSpaceDE w:val="0"/>
              <w:autoSpaceDN w:val="0"/>
              <w:adjustRightInd w:val="0"/>
              <w:spacing w:before="0" w:beforeAutospacing="0" w:after="0" w:afterAutospacing="0"/>
              <w:ind w:left="0" w:right="0"/>
              <w:jc w:val="left"/>
              <w:rPr>
                <w:rFonts w:hint="eastAsia" w:ascii="宋体" w:hAnsi="宋体" w:eastAsia="宋体" w:cs="宋体"/>
                <w:kern w:val="0"/>
                <w:sz w:val="21"/>
                <w:szCs w:val="21"/>
              </w:rPr>
            </w:pPr>
            <w:r>
              <w:rPr>
                <w:rFonts w:hint="eastAsia" w:ascii="宋体" w:hAnsi="宋体" w:eastAsia="宋体" w:cs="宋体"/>
                <w:bCs/>
                <w:kern w:val="2"/>
                <w:sz w:val="21"/>
                <w:szCs w:val="21"/>
                <w:lang w:val="en-US" w:eastAsia="zh-CN" w:bidi="ar"/>
              </w:rPr>
              <w:t>营业执照等副本复印件、组织机构代码证复印件、税务登记证复印件（或三证合一执照）</w:t>
            </w:r>
          </w:p>
        </w:tc>
        <w:tc>
          <w:tcPr>
            <w:tcW w:w="353" w:type="pct"/>
            <w:tcBorders>
              <w:top w:val="single" w:color="auto" w:sz="2" w:space="0"/>
              <w:left w:val="nil"/>
              <w:bottom w:val="single" w:color="auto" w:sz="2" w:space="0"/>
              <w:right w:val="single" w:color="auto" w:sz="2" w:space="0"/>
            </w:tcBorders>
            <w:shd w:val="clear" w:color="auto" w:fill="auto"/>
            <w:vAlign w:val="center"/>
          </w:tcPr>
          <w:p w14:paraId="743764F7">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75" w:type="pct"/>
            <w:tcBorders>
              <w:top w:val="single" w:color="auto" w:sz="2" w:space="0"/>
              <w:left w:val="nil"/>
              <w:bottom w:val="single" w:color="auto" w:sz="2" w:space="0"/>
              <w:right w:val="single" w:color="auto" w:sz="2" w:space="0"/>
            </w:tcBorders>
            <w:shd w:val="clear" w:color="auto" w:fill="auto"/>
            <w:vAlign w:val="center"/>
          </w:tcPr>
          <w:p w14:paraId="068D6744">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2" w:space="0"/>
            </w:tcBorders>
            <w:shd w:val="clear" w:color="auto" w:fill="auto"/>
            <w:vAlign w:val="center"/>
          </w:tcPr>
          <w:p w14:paraId="5EA19062">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12" w:space="0"/>
            </w:tcBorders>
            <w:shd w:val="clear" w:color="auto" w:fill="auto"/>
            <w:vAlign w:val="center"/>
          </w:tcPr>
          <w:p w14:paraId="7D6DC507">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r>
      <w:tr w14:paraId="26135C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487" w:type="pct"/>
            <w:vMerge w:val="continue"/>
            <w:tcBorders>
              <w:top w:val="nil"/>
              <w:left w:val="single" w:color="auto" w:sz="12" w:space="0"/>
              <w:bottom w:val="single" w:color="auto" w:sz="2" w:space="0"/>
              <w:right w:val="single" w:color="auto" w:sz="2" w:space="0"/>
            </w:tcBorders>
            <w:shd w:val="clear" w:color="auto" w:fill="auto"/>
            <w:vAlign w:val="center"/>
          </w:tcPr>
          <w:p w14:paraId="470823D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518" w:type="pct"/>
            <w:tcBorders>
              <w:top w:val="single" w:color="auto" w:sz="2" w:space="0"/>
              <w:left w:val="nil"/>
              <w:bottom w:val="single" w:color="auto" w:sz="2" w:space="0"/>
              <w:right w:val="single" w:color="auto" w:sz="2" w:space="0"/>
            </w:tcBorders>
            <w:shd w:val="clear" w:color="auto" w:fill="auto"/>
            <w:vAlign w:val="center"/>
          </w:tcPr>
          <w:p w14:paraId="4288F2F7">
            <w:pPr>
              <w:keepNext w:val="0"/>
              <w:keepLines w:val="0"/>
              <w:widowControl w:val="0"/>
              <w:suppressLineNumbers w:val="0"/>
              <w:autoSpaceDE w:val="0"/>
              <w:autoSpaceDN w:val="0"/>
              <w:adjustRightInd w:val="0"/>
              <w:spacing w:before="0" w:beforeAutospacing="0" w:after="0" w:afterAutospacing="0" w:line="360" w:lineRule="atLeast"/>
              <w:ind w:left="0" w:right="0" w:firstLine="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6</w:t>
            </w:r>
          </w:p>
        </w:tc>
        <w:tc>
          <w:tcPr>
            <w:tcW w:w="2529" w:type="pct"/>
            <w:tcBorders>
              <w:top w:val="single" w:color="auto" w:sz="2" w:space="0"/>
              <w:left w:val="nil"/>
              <w:bottom w:val="single" w:color="auto" w:sz="2" w:space="0"/>
              <w:right w:val="single" w:color="auto" w:sz="2" w:space="0"/>
            </w:tcBorders>
            <w:shd w:val="clear" w:color="auto" w:fill="auto"/>
            <w:vAlign w:val="center"/>
          </w:tcPr>
          <w:p w14:paraId="22E1881D">
            <w:pPr>
              <w:keepNext w:val="0"/>
              <w:keepLines w:val="0"/>
              <w:widowControl w:val="0"/>
              <w:suppressLineNumbers w:val="0"/>
              <w:autoSpaceDE w:val="0"/>
              <w:autoSpaceDN w:val="0"/>
              <w:adjustRightInd w:val="0"/>
              <w:spacing w:before="0" w:beforeAutospacing="0" w:after="0" w:afterAutospacing="0" w:line="360" w:lineRule="atLeast"/>
              <w:ind w:left="0" w:right="0"/>
              <w:jc w:val="left"/>
              <w:rPr>
                <w:rFonts w:hint="eastAsia" w:ascii="宋体" w:hAnsi="宋体" w:eastAsia="宋体" w:cs="宋体"/>
                <w:b/>
                <w:bCs w:val="0"/>
                <w:kern w:val="0"/>
                <w:sz w:val="21"/>
                <w:szCs w:val="21"/>
              </w:rPr>
            </w:pPr>
            <w:r>
              <w:rPr>
                <w:rFonts w:hint="eastAsia" w:ascii="宋体" w:hAnsi="宋体" w:eastAsia="宋体" w:cs="宋体"/>
                <w:kern w:val="0"/>
                <w:sz w:val="21"/>
                <w:szCs w:val="21"/>
                <w:lang w:val="en-US" w:eastAsia="zh-CN" w:bidi="ar"/>
              </w:rPr>
              <w:t>法定代表人（负责人）证明书</w:t>
            </w:r>
          </w:p>
        </w:tc>
        <w:tc>
          <w:tcPr>
            <w:tcW w:w="353" w:type="pct"/>
            <w:tcBorders>
              <w:top w:val="single" w:color="auto" w:sz="2" w:space="0"/>
              <w:left w:val="nil"/>
              <w:bottom w:val="single" w:color="auto" w:sz="2" w:space="0"/>
              <w:right w:val="single" w:color="auto" w:sz="2" w:space="0"/>
            </w:tcBorders>
            <w:shd w:val="clear" w:color="auto" w:fill="auto"/>
            <w:vAlign w:val="center"/>
          </w:tcPr>
          <w:p w14:paraId="3EED5163">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75" w:type="pct"/>
            <w:tcBorders>
              <w:top w:val="single" w:color="auto" w:sz="2" w:space="0"/>
              <w:left w:val="nil"/>
              <w:bottom w:val="single" w:color="auto" w:sz="2" w:space="0"/>
              <w:right w:val="single" w:color="auto" w:sz="2" w:space="0"/>
            </w:tcBorders>
            <w:shd w:val="clear" w:color="auto" w:fill="auto"/>
            <w:vAlign w:val="center"/>
          </w:tcPr>
          <w:p w14:paraId="3FB9A15E">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2" w:space="0"/>
            </w:tcBorders>
            <w:shd w:val="clear" w:color="auto" w:fill="auto"/>
            <w:vAlign w:val="center"/>
          </w:tcPr>
          <w:p w14:paraId="52D8D89A">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12" w:space="0"/>
            </w:tcBorders>
            <w:shd w:val="clear" w:color="auto" w:fill="auto"/>
            <w:vAlign w:val="center"/>
          </w:tcPr>
          <w:p w14:paraId="0DAC2FE1">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r>
      <w:tr w14:paraId="2618D4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321" w:hRule="atLeast"/>
          <w:jc w:val="center"/>
        </w:trPr>
        <w:tc>
          <w:tcPr>
            <w:tcW w:w="487" w:type="pct"/>
            <w:vMerge w:val="continue"/>
            <w:tcBorders>
              <w:top w:val="nil"/>
              <w:left w:val="single" w:color="auto" w:sz="12" w:space="0"/>
              <w:bottom w:val="single" w:color="auto" w:sz="2" w:space="0"/>
              <w:right w:val="single" w:color="auto" w:sz="2" w:space="0"/>
            </w:tcBorders>
            <w:shd w:val="clear" w:color="auto" w:fill="auto"/>
            <w:vAlign w:val="center"/>
          </w:tcPr>
          <w:p w14:paraId="50A21FE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518" w:type="pct"/>
            <w:tcBorders>
              <w:top w:val="single" w:color="auto" w:sz="2" w:space="0"/>
              <w:left w:val="nil"/>
              <w:bottom w:val="single" w:color="auto" w:sz="2" w:space="0"/>
              <w:right w:val="single" w:color="auto" w:sz="2" w:space="0"/>
            </w:tcBorders>
            <w:shd w:val="clear" w:color="auto" w:fill="auto"/>
            <w:vAlign w:val="center"/>
          </w:tcPr>
          <w:p w14:paraId="060A98E7">
            <w:pPr>
              <w:keepNext w:val="0"/>
              <w:keepLines w:val="0"/>
              <w:widowControl w:val="0"/>
              <w:suppressLineNumbers w:val="0"/>
              <w:autoSpaceDE w:val="0"/>
              <w:autoSpaceDN w:val="0"/>
              <w:adjustRightInd w:val="0"/>
              <w:spacing w:before="0" w:beforeAutospacing="0" w:after="0" w:afterAutospacing="0" w:line="360" w:lineRule="atLeast"/>
              <w:ind w:left="0" w:right="0" w:firstLine="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7</w:t>
            </w:r>
          </w:p>
        </w:tc>
        <w:tc>
          <w:tcPr>
            <w:tcW w:w="2529" w:type="pct"/>
            <w:tcBorders>
              <w:top w:val="single" w:color="auto" w:sz="2" w:space="0"/>
              <w:left w:val="nil"/>
              <w:bottom w:val="single" w:color="auto" w:sz="2" w:space="0"/>
              <w:right w:val="single" w:color="auto" w:sz="2" w:space="0"/>
            </w:tcBorders>
            <w:shd w:val="clear" w:color="auto" w:fill="auto"/>
            <w:vAlign w:val="center"/>
          </w:tcPr>
          <w:p w14:paraId="415D8359">
            <w:pPr>
              <w:keepNext w:val="0"/>
              <w:keepLines w:val="0"/>
              <w:widowControl w:val="0"/>
              <w:suppressLineNumbers w:val="0"/>
              <w:autoSpaceDE w:val="0"/>
              <w:autoSpaceDN w:val="0"/>
              <w:adjustRightInd w:val="0"/>
              <w:spacing w:before="0" w:beforeAutospacing="0" w:after="0" w:afterAutospacing="0" w:line="360" w:lineRule="atLeast"/>
              <w:ind w:left="0" w:right="0"/>
              <w:jc w:val="left"/>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其他文件</w:t>
            </w:r>
          </w:p>
        </w:tc>
        <w:tc>
          <w:tcPr>
            <w:tcW w:w="353" w:type="pct"/>
            <w:tcBorders>
              <w:top w:val="single" w:color="auto" w:sz="2" w:space="0"/>
              <w:left w:val="nil"/>
              <w:bottom w:val="single" w:color="auto" w:sz="2" w:space="0"/>
              <w:right w:val="single" w:color="auto" w:sz="2" w:space="0"/>
            </w:tcBorders>
            <w:shd w:val="clear" w:color="auto" w:fill="auto"/>
            <w:vAlign w:val="center"/>
          </w:tcPr>
          <w:p w14:paraId="27503604">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75" w:type="pct"/>
            <w:tcBorders>
              <w:top w:val="single" w:color="auto" w:sz="2" w:space="0"/>
              <w:left w:val="nil"/>
              <w:bottom w:val="single" w:color="auto" w:sz="2" w:space="0"/>
              <w:right w:val="single" w:color="auto" w:sz="2" w:space="0"/>
            </w:tcBorders>
            <w:shd w:val="clear" w:color="auto" w:fill="auto"/>
            <w:vAlign w:val="center"/>
          </w:tcPr>
          <w:p w14:paraId="62F9B95A">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2" w:space="0"/>
            </w:tcBorders>
            <w:shd w:val="clear" w:color="auto" w:fill="auto"/>
            <w:vAlign w:val="center"/>
          </w:tcPr>
          <w:p w14:paraId="03E3E73B">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12" w:space="0"/>
            </w:tcBorders>
            <w:shd w:val="clear" w:color="auto" w:fill="auto"/>
            <w:vAlign w:val="center"/>
          </w:tcPr>
          <w:p w14:paraId="580B42B9">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r>
      <w:tr w14:paraId="20FB95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321" w:hRule="atLeast"/>
          <w:jc w:val="center"/>
        </w:trPr>
        <w:tc>
          <w:tcPr>
            <w:tcW w:w="487" w:type="pct"/>
            <w:vMerge w:val="restart"/>
            <w:tcBorders>
              <w:top w:val="single" w:color="auto" w:sz="4" w:space="0"/>
              <w:left w:val="single" w:color="auto" w:sz="12" w:space="0"/>
              <w:bottom w:val="single" w:color="auto" w:sz="2" w:space="0"/>
              <w:right w:val="single" w:color="auto" w:sz="2" w:space="0"/>
            </w:tcBorders>
            <w:shd w:val="clear" w:color="auto" w:fill="auto"/>
            <w:vAlign w:val="center"/>
          </w:tcPr>
          <w:p w14:paraId="2A0BE563">
            <w:pPr>
              <w:keepNext w:val="0"/>
              <w:keepLines w:val="0"/>
              <w:widowControl w:val="0"/>
              <w:suppressLineNumbers w:val="0"/>
              <w:autoSpaceDE w:val="0"/>
              <w:autoSpaceDN w:val="0"/>
              <w:adjustRightInd w:val="0"/>
              <w:spacing w:before="0" w:beforeAutospacing="0" w:after="0" w:afterAutospacing="0" w:line="360" w:lineRule="atLeast"/>
              <w:ind w:left="0" w:right="0"/>
              <w:jc w:val="center"/>
              <w:rPr>
                <w:rFonts w:hint="eastAsia" w:ascii="宋体" w:hAnsi="宋体" w:eastAsia="宋体" w:cs="宋体"/>
                <w:b/>
                <w:bCs w:val="0"/>
                <w:kern w:val="0"/>
                <w:sz w:val="21"/>
                <w:szCs w:val="21"/>
              </w:rPr>
            </w:pPr>
            <w:r>
              <w:rPr>
                <w:rFonts w:hint="eastAsia" w:ascii="宋体" w:hAnsi="宋体" w:eastAsia="宋体" w:cs="宋体"/>
                <w:b/>
                <w:bCs w:val="0"/>
                <w:kern w:val="0"/>
                <w:sz w:val="21"/>
                <w:szCs w:val="21"/>
                <w:lang w:val="en-US" w:eastAsia="zh-CN" w:bidi="ar"/>
              </w:rPr>
              <w:t>商务部分文件</w:t>
            </w:r>
          </w:p>
        </w:tc>
        <w:tc>
          <w:tcPr>
            <w:tcW w:w="518" w:type="pct"/>
            <w:tcBorders>
              <w:top w:val="single" w:color="auto" w:sz="2" w:space="0"/>
              <w:left w:val="nil"/>
              <w:bottom w:val="single" w:color="auto" w:sz="2" w:space="0"/>
              <w:right w:val="single" w:color="auto" w:sz="2" w:space="0"/>
            </w:tcBorders>
            <w:shd w:val="clear" w:color="auto" w:fill="auto"/>
            <w:vAlign w:val="center"/>
          </w:tcPr>
          <w:p w14:paraId="0C6E6E31">
            <w:pPr>
              <w:keepNext w:val="0"/>
              <w:keepLines w:val="0"/>
              <w:widowControl w:val="0"/>
              <w:numPr>
                <w:ilvl w:val="0"/>
                <w:numId w:val="5"/>
              </w:numPr>
              <w:suppressLineNumbers w:val="0"/>
              <w:autoSpaceDE w:val="0"/>
              <w:autoSpaceDN w:val="0"/>
              <w:adjustRightInd w:val="0"/>
              <w:spacing w:before="0" w:beforeAutospacing="0" w:after="0" w:afterAutospacing="0" w:line="360" w:lineRule="atLeast"/>
              <w:ind w:left="562" w:right="0" w:hanging="420"/>
              <w:jc w:val="center"/>
              <w:rPr>
                <w:rFonts w:hint="eastAsia" w:ascii="宋体" w:hAnsi="宋体" w:eastAsia="宋体" w:cs="宋体"/>
                <w:kern w:val="0"/>
                <w:sz w:val="21"/>
                <w:szCs w:val="21"/>
              </w:rPr>
            </w:pPr>
          </w:p>
        </w:tc>
        <w:tc>
          <w:tcPr>
            <w:tcW w:w="2529" w:type="pct"/>
            <w:tcBorders>
              <w:top w:val="single" w:color="auto" w:sz="2" w:space="0"/>
              <w:left w:val="nil"/>
              <w:bottom w:val="single" w:color="auto" w:sz="2" w:space="0"/>
              <w:right w:val="single" w:color="auto" w:sz="2" w:space="0"/>
            </w:tcBorders>
            <w:shd w:val="clear" w:color="auto" w:fill="auto"/>
            <w:vAlign w:val="center"/>
          </w:tcPr>
          <w:p w14:paraId="33408A62">
            <w:pPr>
              <w:keepNext w:val="0"/>
              <w:keepLines w:val="0"/>
              <w:widowControl w:val="0"/>
              <w:suppressLineNumbers w:val="0"/>
              <w:spacing w:before="0" w:beforeAutospacing="0" w:after="0" w:afterAutospacing="0" w:line="360" w:lineRule="atLeast"/>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商务要求响应表</w:t>
            </w:r>
          </w:p>
        </w:tc>
        <w:tc>
          <w:tcPr>
            <w:tcW w:w="353" w:type="pct"/>
            <w:tcBorders>
              <w:top w:val="single" w:color="auto" w:sz="2" w:space="0"/>
              <w:left w:val="nil"/>
              <w:bottom w:val="single" w:color="auto" w:sz="2" w:space="0"/>
              <w:right w:val="single" w:color="auto" w:sz="2" w:space="0"/>
            </w:tcBorders>
            <w:shd w:val="clear" w:color="auto" w:fill="auto"/>
            <w:vAlign w:val="center"/>
          </w:tcPr>
          <w:p w14:paraId="25FECC97">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75" w:type="pct"/>
            <w:tcBorders>
              <w:top w:val="single" w:color="auto" w:sz="2" w:space="0"/>
              <w:left w:val="nil"/>
              <w:bottom w:val="single" w:color="auto" w:sz="2" w:space="0"/>
              <w:right w:val="single" w:color="auto" w:sz="2" w:space="0"/>
            </w:tcBorders>
            <w:shd w:val="clear" w:color="auto" w:fill="auto"/>
            <w:vAlign w:val="center"/>
          </w:tcPr>
          <w:p w14:paraId="2CC5E158">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2" w:space="0"/>
            </w:tcBorders>
            <w:shd w:val="clear" w:color="auto" w:fill="auto"/>
            <w:vAlign w:val="center"/>
          </w:tcPr>
          <w:p w14:paraId="49B71927">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12" w:space="0"/>
            </w:tcBorders>
            <w:shd w:val="clear" w:color="auto" w:fill="auto"/>
            <w:vAlign w:val="center"/>
          </w:tcPr>
          <w:p w14:paraId="24DF4104">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r>
      <w:tr w14:paraId="595D54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487" w:type="pct"/>
            <w:vMerge w:val="continue"/>
            <w:tcBorders>
              <w:top w:val="single" w:color="auto" w:sz="4" w:space="0"/>
              <w:left w:val="single" w:color="auto" w:sz="12" w:space="0"/>
              <w:bottom w:val="single" w:color="auto" w:sz="2" w:space="0"/>
              <w:right w:val="single" w:color="auto" w:sz="2" w:space="0"/>
            </w:tcBorders>
            <w:shd w:val="clear" w:color="auto" w:fill="auto"/>
            <w:vAlign w:val="center"/>
          </w:tcPr>
          <w:p w14:paraId="356CDC5E">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518" w:type="pct"/>
            <w:tcBorders>
              <w:top w:val="single" w:color="auto" w:sz="2" w:space="0"/>
              <w:left w:val="nil"/>
              <w:bottom w:val="single" w:color="auto" w:sz="2" w:space="0"/>
              <w:right w:val="single" w:color="auto" w:sz="2" w:space="0"/>
            </w:tcBorders>
            <w:shd w:val="clear" w:color="auto" w:fill="auto"/>
            <w:vAlign w:val="center"/>
          </w:tcPr>
          <w:p w14:paraId="5F43C964">
            <w:pPr>
              <w:keepNext w:val="0"/>
              <w:keepLines w:val="0"/>
              <w:widowControl w:val="0"/>
              <w:numPr>
                <w:ilvl w:val="0"/>
                <w:numId w:val="5"/>
              </w:numPr>
              <w:suppressLineNumbers w:val="0"/>
              <w:autoSpaceDE w:val="0"/>
              <w:autoSpaceDN w:val="0"/>
              <w:adjustRightInd w:val="0"/>
              <w:spacing w:before="0" w:beforeAutospacing="0" w:after="0" w:afterAutospacing="0" w:line="360" w:lineRule="atLeast"/>
              <w:ind w:left="562" w:right="0" w:hanging="420"/>
              <w:jc w:val="center"/>
              <w:rPr>
                <w:rFonts w:hint="eastAsia" w:ascii="宋体" w:hAnsi="宋体" w:eastAsia="宋体" w:cs="宋体"/>
                <w:kern w:val="0"/>
                <w:sz w:val="21"/>
                <w:szCs w:val="21"/>
              </w:rPr>
            </w:pPr>
          </w:p>
        </w:tc>
        <w:tc>
          <w:tcPr>
            <w:tcW w:w="2529" w:type="pct"/>
            <w:tcBorders>
              <w:top w:val="single" w:color="auto" w:sz="2" w:space="0"/>
              <w:left w:val="nil"/>
              <w:bottom w:val="single" w:color="auto" w:sz="2" w:space="0"/>
              <w:right w:val="single" w:color="auto" w:sz="2" w:space="0"/>
            </w:tcBorders>
            <w:shd w:val="clear" w:color="auto" w:fill="auto"/>
            <w:vAlign w:val="center"/>
          </w:tcPr>
          <w:p w14:paraId="47323E0B">
            <w:pPr>
              <w:keepNext w:val="0"/>
              <w:keepLines w:val="0"/>
              <w:widowControl w:val="0"/>
              <w:suppressLineNumbers w:val="0"/>
              <w:spacing w:before="0" w:beforeAutospacing="0" w:after="0" w:afterAutospacing="0" w:line="360" w:lineRule="atLeast"/>
              <w:ind w:left="0" w:right="0"/>
              <w:jc w:val="left"/>
              <w:rPr>
                <w:rFonts w:hint="eastAsia" w:ascii="宋体" w:hAnsi="宋体" w:eastAsia="宋体" w:cs="宋体"/>
                <w:kern w:val="2"/>
                <w:sz w:val="21"/>
                <w:szCs w:val="21"/>
              </w:rPr>
            </w:pPr>
          </w:p>
        </w:tc>
        <w:tc>
          <w:tcPr>
            <w:tcW w:w="353" w:type="pct"/>
            <w:tcBorders>
              <w:top w:val="single" w:color="auto" w:sz="2" w:space="0"/>
              <w:left w:val="nil"/>
              <w:bottom w:val="single" w:color="auto" w:sz="2" w:space="0"/>
              <w:right w:val="single" w:color="auto" w:sz="2" w:space="0"/>
            </w:tcBorders>
            <w:shd w:val="clear" w:color="auto" w:fill="auto"/>
            <w:vAlign w:val="center"/>
          </w:tcPr>
          <w:p w14:paraId="2E472257">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75" w:type="pct"/>
            <w:tcBorders>
              <w:top w:val="single" w:color="auto" w:sz="2" w:space="0"/>
              <w:left w:val="nil"/>
              <w:bottom w:val="single" w:color="auto" w:sz="2" w:space="0"/>
              <w:right w:val="single" w:color="auto" w:sz="2" w:space="0"/>
            </w:tcBorders>
            <w:shd w:val="clear" w:color="auto" w:fill="auto"/>
            <w:vAlign w:val="center"/>
          </w:tcPr>
          <w:p w14:paraId="1B0F3ADD">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2" w:space="0"/>
            </w:tcBorders>
            <w:shd w:val="clear" w:color="auto" w:fill="auto"/>
            <w:vAlign w:val="center"/>
          </w:tcPr>
          <w:p w14:paraId="2B85909F">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12" w:space="0"/>
            </w:tcBorders>
            <w:shd w:val="clear" w:color="auto" w:fill="auto"/>
            <w:vAlign w:val="center"/>
          </w:tcPr>
          <w:p w14:paraId="3EE2AF87">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r>
      <w:tr w14:paraId="2C726A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487" w:type="pct"/>
            <w:vMerge w:val="continue"/>
            <w:tcBorders>
              <w:top w:val="single" w:color="auto" w:sz="4" w:space="0"/>
              <w:left w:val="single" w:color="auto" w:sz="12" w:space="0"/>
              <w:bottom w:val="single" w:color="auto" w:sz="2" w:space="0"/>
              <w:right w:val="single" w:color="auto" w:sz="2" w:space="0"/>
            </w:tcBorders>
            <w:shd w:val="clear" w:color="auto" w:fill="auto"/>
            <w:vAlign w:val="center"/>
          </w:tcPr>
          <w:p w14:paraId="567BFF6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518" w:type="pct"/>
            <w:tcBorders>
              <w:top w:val="single" w:color="auto" w:sz="2" w:space="0"/>
              <w:left w:val="nil"/>
              <w:bottom w:val="single" w:color="auto" w:sz="2" w:space="0"/>
              <w:right w:val="single" w:color="auto" w:sz="2" w:space="0"/>
            </w:tcBorders>
            <w:shd w:val="clear" w:color="auto" w:fill="auto"/>
            <w:vAlign w:val="center"/>
          </w:tcPr>
          <w:p w14:paraId="42A5346B">
            <w:pPr>
              <w:keepNext w:val="0"/>
              <w:keepLines w:val="0"/>
              <w:widowControl w:val="0"/>
              <w:numPr>
                <w:ilvl w:val="0"/>
                <w:numId w:val="5"/>
              </w:numPr>
              <w:suppressLineNumbers w:val="0"/>
              <w:autoSpaceDE w:val="0"/>
              <w:autoSpaceDN w:val="0"/>
              <w:adjustRightInd w:val="0"/>
              <w:spacing w:before="0" w:beforeAutospacing="0" w:after="0" w:afterAutospacing="0" w:line="360" w:lineRule="atLeast"/>
              <w:ind w:left="562" w:right="0" w:hanging="42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t>
            </w:r>
          </w:p>
        </w:tc>
        <w:tc>
          <w:tcPr>
            <w:tcW w:w="2529" w:type="pct"/>
            <w:tcBorders>
              <w:top w:val="single" w:color="auto" w:sz="2" w:space="0"/>
              <w:left w:val="nil"/>
              <w:bottom w:val="single" w:color="auto" w:sz="2" w:space="0"/>
              <w:right w:val="single" w:color="auto" w:sz="2" w:space="0"/>
            </w:tcBorders>
            <w:shd w:val="clear" w:color="auto" w:fill="auto"/>
            <w:vAlign w:val="center"/>
          </w:tcPr>
          <w:p w14:paraId="729B5806">
            <w:pPr>
              <w:keepNext w:val="0"/>
              <w:keepLines w:val="0"/>
              <w:widowControl w:val="0"/>
              <w:suppressLineNumbers w:val="0"/>
              <w:spacing w:before="0" w:beforeAutospacing="0" w:after="0" w:afterAutospacing="0" w:line="360" w:lineRule="atLeast"/>
              <w:ind w:left="0" w:right="0"/>
              <w:jc w:val="left"/>
              <w:rPr>
                <w:rFonts w:hint="eastAsia" w:ascii="宋体" w:hAnsi="宋体" w:eastAsia="宋体" w:cs="宋体"/>
                <w:kern w:val="2"/>
                <w:sz w:val="21"/>
                <w:szCs w:val="21"/>
              </w:rPr>
            </w:pPr>
          </w:p>
        </w:tc>
        <w:tc>
          <w:tcPr>
            <w:tcW w:w="353" w:type="pct"/>
            <w:tcBorders>
              <w:top w:val="single" w:color="auto" w:sz="2" w:space="0"/>
              <w:left w:val="nil"/>
              <w:bottom w:val="single" w:color="auto" w:sz="2" w:space="0"/>
              <w:right w:val="single" w:color="auto" w:sz="2" w:space="0"/>
            </w:tcBorders>
            <w:shd w:val="clear" w:color="auto" w:fill="auto"/>
            <w:vAlign w:val="center"/>
          </w:tcPr>
          <w:p w14:paraId="655F9FA1">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75" w:type="pct"/>
            <w:tcBorders>
              <w:top w:val="single" w:color="auto" w:sz="2" w:space="0"/>
              <w:left w:val="nil"/>
              <w:bottom w:val="single" w:color="auto" w:sz="2" w:space="0"/>
              <w:right w:val="single" w:color="auto" w:sz="2" w:space="0"/>
            </w:tcBorders>
            <w:shd w:val="clear" w:color="auto" w:fill="auto"/>
            <w:vAlign w:val="center"/>
          </w:tcPr>
          <w:p w14:paraId="36FA3219">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2" w:space="0"/>
            </w:tcBorders>
            <w:shd w:val="clear" w:color="auto" w:fill="auto"/>
            <w:vAlign w:val="center"/>
          </w:tcPr>
          <w:p w14:paraId="18291560">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12" w:space="0"/>
            </w:tcBorders>
            <w:shd w:val="clear" w:color="auto" w:fill="auto"/>
            <w:vAlign w:val="center"/>
          </w:tcPr>
          <w:p w14:paraId="38F08B61">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r>
      <w:tr w14:paraId="5384EFD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321" w:hRule="atLeast"/>
          <w:jc w:val="center"/>
        </w:trPr>
        <w:tc>
          <w:tcPr>
            <w:tcW w:w="487" w:type="pct"/>
            <w:vMerge w:val="restart"/>
            <w:tcBorders>
              <w:top w:val="nil"/>
              <w:left w:val="single" w:color="auto" w:sz="12" w:space="0"/>
              <w:bottom w:val="single" w:color="auto" w:sz="2" w:space="0"/>
              <w:right w:val="single" w:color="auto" w:sz="2" w:space="0"/>
            </w:tcBorders>
            <w:shd w:val="clear" w:color="auto" w:fill="auto"/>
            <w:vAlign w:val="center"/>
          </w:tcPr>
          <w:p w14:paraId="0A0DA9E3">
            <w:pPr>
              <w:keepNext w:val="0"/>
              <w:keepLines w:val="0"/>
              <w:widowControl w:val="0"/>
              <w:suppressLineNumbers w:val="0"/>
              <w:autoSpaceDE w:val="0"/>
              <w:autoSpaceDN w:val="0"/>
              <w:adjustRightInd w:val="0"/>
              <w:spacing w:before="0" w:beforeAutospacing="0" w:after="0" w:afterAutospacing="0" w:line="360" w:lineRule="atLeast"/>
              <w:ind w:left="0" w:right="0"/>
              <w:jc w:val="center"/>
              <w:rPr>
                <w:rFonts w:hint="eastAsia" w:ascii="宋体" w:hAnsi="宋体" w:eastAsia="宋体" w:cs="宋体"/>
                <w:kern w:val="0"/>
                <w:sz w:val="21"/>
                <w:szCs w:val="21"/>
              </w:rPr>
            </w:pPr>
            <w:r>
              <w:rPr>
                <w:rFonts w:hint="eastAsia" w:ascii="宋体" w:hAnsi="宋体" w:eastAsia="宋体" w:cs="宋体"/>
                <w:b/>
                <w:bCs w:val="0"/>
                <w:kern w:val="0"/>
                <w:sz w:val="21"/>
                <w:szCs w:val="21"/>
                <w:lang w:val="en-US" w:eastAsia="zh-CN" w:bidi="ar"/>
              </w:rPr>
              <w:t>技术部分文件</w:t>
            </w:r>
          </w:p>
        </w:tc>
        <w:tc>
          <w:tcPr>
            <w:tcW w:w="518" w:type="pct"/>
            <w:tcBorders>
              <w:top w:val="single" w:color="auto" w:sz="2" w:space="0"/>
              <w:left w:val="nil"/>
              <w:bottom w:val="single" w:color="auto" w:sz="2" w:space="0"/>
              <w:right w:val="single" w:color="auto" w:sz="2" w:space="0"/>
            </w:tcBorders>
            <w:shd w:val="clear" w:color="auto" w:fill="auto"/>
            <w:vAlign w:val="center"/>
          </w:tcPr>
          <w:p w14:paraId="24A32A78">
            <w:pPr>
              <w:keepNext w:val="0"/>
              <w:keepLines w:val="0"/>
              <w:widowControl w:val="0"/>
              <w:numPr>
                <w:ilvl w:val="0"/>
                <w:numId w:val="6"/>
              </w:numPr>
              <w:suppressLineNumbers w:val="0"/>
              <w:autoSpaceDE w:val="0"/>
              <w:autoSpaceDN w:val="0"/>
              <w:adjustRightInd w:val="0"/>
              <w:spacing w:before="0" w:beforeAutospacing="0" w:after="0" w:afterAutospacing="0" w:line="360" w:lineRule="atLeast"/>
              <w:ind w:left="562" w:right="0" w:hanging="420"/>
              <w:jc w:val="center"/>
              <w:rPr>
                <w:rFonts w:hint="eastAsia" w:ascii="宋体" w:hAnsi="宋体" w:eastAsia="宋体" w:cs="宋体"/>
                <w:kern w:val="0"/>
                <w:sz w:val="21"/>
                <w:szCs w:val="21"/>
              </w:rPr>
            </w:pPr>
          </w:p>
        </w:tc>
        <w:tc>
          <w:tcPr>
            <w:tcW w:w="2529" w:type="pct"/>
            <w:tcBorders>
              <w:top w:val="single" w:color="auto" w:sz="2" w:space="0"/>
              <w:left w:val="nil"/>
              <w:bottom w:val="single" w:color="auto" w:sz="2" w:space="0"/>
              <w:right w:val="single" w:color="auto" w:sz="2" w:space="0"/>
            </w:tcBorders>
            <w:shd w:val="clear" w:color="auto" w:fill="auto"/>
            <w:vAlign w:val="center"/>
          </w:tcPr>
          <w:p w14:paraId="4109AB28">
            <w:pPr>
              <w:keepNext w:val="0"/>
              <w:keepLines w:val="0"/>
              <w:widowControl w:val="0"/>
              <w:suppressLineNumbers w:val="0"/>
              <w:spacing w:before="0" w:beforeAutospacing="0" w:after="0" w:afterAutospacing="0" w:line="360" w:lineRule="atLeast"/>
              <w:ind w:left="0" w:right="0"/>
              <w:jc w:val="left"/>
              <w:rPr>
                <w:rFonts w:hint="eastAsia" w:ascii="宋体" w:hAnsi="宋体" w:eastAsia="宋体" w:cs="宋体"/>
                <w:kern w:val="0"/>
                <w:sz w:val="21"/>
                <w:szCs w:val="21"/>
              </w:rPr>
            </w:pPr>
            <w:r>
              <w:rPr>
                <w:rFonts w:hint="eastAsia" w:ascii="宋体" w:hAnsi="宋体" w:eastAsia="宋体" w:cs="宋体"/>
                <w:kern w:val="2"/>
                <w:sz w:val="21"/>
                <w:szCs w:val="21"/>
                <w:lang w:val="en-US" w:eastAsia="zh-CN" w:bidi="ar"/>
              </w:rPr>
              <w:t>技术要求响应表</w:t>
            </w:r>
          </w:p>
        </w:tc>
        <w:tc>
          <w:tcPr>
            <w:tcW w:w="353" w:type="pct"/>
            <w:tcBorders>
              <w:top w:val="single" w:color="auto" w:sz="2" w:space="0"/>
              <w:left w:val="nil"/>
              <w:bottom w:val="single" w:color="auto" w:sz="2" w:space="0"/>
              <w:right w:val="single" w:color="auto" w:sz="2" w:space="0"/>
            </w:tcBorders>
            <w:shd w:val="clear" w:color="auto" w:fill="auto"/>
            <w:vAlign w:val="center"/>
          </w:tcPr>
          <w:p w14:paraId="41ED485A">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75" w:type="pct"/>
            <w:tcBorders>
              <w:top w:val="single" w:color="auto" w:sz="2" w:space="0"/>
              <w:left w:val="nil"/>
              <w:bottom w:val="single" w:color="auto" w:sz="2" w:space="0"/>
              <w:right w:val="single" w:color="auto" w:sz="2" w:space="0"/>
            </w:tcBorders>
            <w:shd w:val="clear" w:color="auto" w:fill="auto"/>
            <w:vAlign w:val="center"/>
          </w:tcPr>
          <w:p w14:paraId="0E5E325B">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2" w:space="0"/>
            </w:tcBorders>
            <w:shd w:val="clear" w:color="auto" w:fill="auto"/>
            <w:vAlign w:val="center"/>
          </w:tcPr>
          <w:p w14:paraId="6AF1CD92">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12" w:space="0"/>
            </w:tcBorders>
            <w:shd w:val="clear" w:color="auto" w:fill="auto"/>
            <w:vAlign w:val="center"/>
          </w:tcPr>
          <w:p w14:paraId="7DFC957C">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r>
      <w:tr w14:paraId="78ACB17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487" w:type="pct"/>
            <w:vMerge w:val="continue"/>
            <w:tcBorders>
              <w:top w:val="nil"/>
              <w:left w:val="single" w:color="auto" w:sz="12" w:space="0"/>
              <w:bottom w:val="single" w:color="auto" w:sz="2" w:space="0"/>
              <w:right w:val="single" w:color="auto" w:sz="2" w:space="0"/>
            </w:tcBorders>
            <w:shd w:val="clear" w:color="auto" w:fill="auto"/>
            <w:vAlign w:val="center"/>
          </w:tcPr>
          <w:p w14:paraId="5992304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518" w:type="pct"/>
            <w:tcBorders>
              <w:top w:val="single" w:color="auto" w:sz="2" w:space="0"/>
              <w:left w:val="nil"/>
              <w:bottom w:val="single" w:color="auto" w:sz="2" w:space="0"/>
              <w:right w:val="single" w:color="auto" w:sz="2" w:space="0"/>
            </w:tcBorders>
            <w:shd w:val="clear" w:color="auto" w:fill="auto"/>
            <w:vAlign w:val="center"/>
          </w:tcPr>
          <w:p w14:paraId="3333BB02">
            <w:pPr>
              <w:keepNext w:val="0"/>
              <w:keepLines w:val="0"/>
              <w:widowControl w:val="0"/>
              <w:numPr>
                <w:ilvl w:val="0"/>
                <w:numId w:val="6"/>
              </w:numPr>
              <w:suppressLineNumbers w:val="0"/>
              <w:autoSpaceDE w:val="0"/>
              <w:autoSpaceDN w:val="0"/>
              <w:adjustRightInd w:val="0"/>
              <w:spacing w:before="0" w:beforeAutospacing="0" w:after="0" w:afterAutospacing="0" w:line="360" w:lineRule="atLeast"/>
              <w:ind w:left="562" w:right="0" w:hanging="420"/>
              <w:jc w:val="center"/>
              <w:rPr>
                <w:rFonts w:hint="eastAsia" w:ascii="宋体" w:hAnsi="宋体" w:eastAsia="宋体" w:cs="宋体"/>
                <w:kern w:val="0"/>
                <w:sz w:val="21"/>
                <w:szCs w:val="21"/>
              </w:rPr>
            </w:pPr>
          </w:p>
        </w:tc>
        <w:tc>
          <w:tcPr>
            <w:tcW w:w="2529" w:type="pct"/>
            <w:tcBorders>
              <w:top w:val="single" w:color="auto" w:sz="2" w:space="0"/>
              <w:left w:val="nil"/>
              <w:bottom w:val="single" w:color="auto" w:sz="2" w:space="0"/>
              <w:right w:val="single" w:color="auto" w:sz="2" w:space="0"/>
            </w:tcBorders>
            <w:shd w:val="clear" w:color="auto" w:fill="auto"/>
            <w:vAlign w:val="center"/>
          </w:tcPr>
          <w:p w14:paraId="528D9F74">
            <w:pPr>
              <w:keepNext w:val="0"/>
              <w:keepLines w:val="0"/>
              <w:widowControl w:val="0"/>
              <w:suppressLineNumbers w:val="0"/>
              <w:spacing w:before="0" w:beforeAutospacing="0" w:after="0" w:afterAutospacing="0" w:line="360" w:lineRule="atLeast"/>
              <w:ind w:left="0" w:right="0"/>
              <w:jc w:val="left"/>
              <w:rPr>
                <w:rFonts w:hint="eastAsia" w:ascii="宋体" w:hAnsi="宋体" w:eastAsia="宋体" w:cs="宋体"/>
                <w:kern w:val="0"/>
                <w:sz w:val="21"/>
                <w:szCs w:val="21"/>
              </w:rPr>
            </w:pPr>
          </w:p>
        </w:tc>
        <w:tc>
          <w:tcPr>
            <w:tcW w:w="353" w:type="pct"/>
            <w:tcBorders>
              <w:top w:val="single" w:color="auto" w:sz="2" w:space="0"/>
              <w:left w:val="nil"/>
              <w:bottom w:val="single" w:color="auto" w:sz="2" w:space="0"/>
              <w:right w:val="single" w:color="auto" w:sz="2" w:space="0"/>
            </w:tcBorders>
            <w:shd w:val="clear" w:color="auto" w:fill="auto"/>
            <w:vAlign w:val="center"/>
          </w:tcPr>
          <w:p w14:paraId="1E9EEFF0">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75" w:type="pct"/>
            <w:tcBorders>
              <w:top w:val="single" w:color="auto" w:sz="2" w:space="0"/>
              <w:left w:val="nil"/>
              <w:bottom w:val="single" w:color="auto" w:sz="2" w:space="0"/>
              <w:right w:val="single" w:color="auto" w:sz="2" w:space="0"/>
            </w:tcBorders>
            <w:shd w:val="clear" w:color="auto" w:fill="auto"/>
            <w:vAlign w:val="center"/>
          </w:tcPr>
          <w:p w14:paraId="53FDB52B">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2" w:space="0"/>
            </w:tcBorders>
            <w:shd w:val="clear" w:color="auto" w:fill="auto"/>
            <w:vAlign w:val="center"/>
          </w:tcPr>
          <w:p w14:paraId="558A3F97">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12" w:space="0"/>
            </w:tcBorders>
            <w:shd w:val="clear" w:color="auto" w:fill="auto"/>
            <w:vAlign w:val="center"/>
          </w:tcPr>
          <w:p w14:paraId="4ACB5829">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r>
      <w:tr w14:paraId="6B6A91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487" w:type="pct"/>
            <w:vMerge w:val="continue"/>
            <w:tcBorders>
              <w:top w:val="nil"/>
              <w:left w:val="single" w:color="auto" w:sz="12" w:space="0"/>
              <w:bottom w:val="single" w:color="auto" w:sz="2" w:space="0"/>
              <w:right w:val="single" w:color="auto" w:sz="2" w:space="0"/>
            </w:tcBorders>
            <w:shd w:val="clear" w:color="auto" w:fill="auto"/>
            <w:vAlign w:val="center"/>
          </w:tcPr>
          <w:p w14:paraId="7C1FE09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518" w:type="pct"/>
            <w:tcBorders>
              <w:top w:val="single" w:color="auto" w:sz="2" w:space="0"/>
              <w:left w:val="nil"/>
              <w:bottom w:val="single" w:color="auto" w:sz="2" w:space="0"/>
              <w:right w:val="single" w:color="auto" w:sz="2" w:space="0"/>
            </w:tcBorders>
            <w:shd w:val="clear" w:color="auto" w:fill="auto"/>
            <w:vAlign w:val="center"/>
          </w:tcPr>
          <w:p w14:paraId="13FFF232">
            <w:pPr>
              <w:keepNext w:val="0"/>
              <w:keepLines w:val="0"/>
              <w:widowControl w:val="0"/>
              <w:numPr>
                <w:ilvl w:val="0"/>
                <w:numId w:val="6"/>
              </w:numPr>
              <w:suppressLineNumbers w:val="0"/>
              <w:autoSpaceDE w:val="0"/>
              <w:autoSpaceDN w:val="0"/>
              <w:adjustRightInd w:val="0"/>
              <w:spacing w:before="0" w:beforeAutospacing="0" w:after="0" w:afterAutospacing="0" w:line="360" w:lineRule="atLeast"/>
              <w:ind w:left="562" w:right="0" w:hanging="42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t>
            </w:r>
          </w:p>
        </w:tc>
        <w:tc>
          <w:tcPr>
            <w:tcW w:w="2529" w:type="pct"/>
            <w:tcBorders>
              <w:top w:val="single" w:color="auto" w:sz="2" w:space="0"/>
              <w:left w:val="nil"/>
              <w:bottom w:val="single" w:color="auto" w:sz="2" w:space="0"/>
              <w:right w:val="single" w:color="auto" w:sz="2" w:space="0"/>
            </w:tcBorders>
            <w:shd w:val="clear" w:color="auto" w:fill="auto"/>
            <w:vAlign w:val="center"/>
          </w:tcPr>
          <w:p w14:paraId="46A9529C">
            <w:pPr>
              <w:keepNext w:val="0"/>
              <w:keepLines w:val="0"/>
              <w:widowControl w:val="0"/>
              <w:suppressLineNumbers w:val="0"/>
              <w:spacing w:before="0" w:beforeAutospacing="0" w:after="0" w:afterAutospacing="0" w:line="360" w:lineRule="atLeast"/>
              <w:ind w:left="0" w:right="0"/>
              <w:jc w:val="left"/>
              <w:rPr>
                <w:rFonts w:hint="eastAsia" w:ascii="宋体" w:hAnsi="宋体" w:eastAsia="宋体" w:cs="宋体"/>
                <w:kern w:val="0"/>
                <w:sz w:val="21"/>
                <w:szCs w:val="21"/>
              </w:rPr>
            </w:pPr>
          </w:p>
        </w:tc>
        <w:tc>
          <w:tcPr>
            <w:tcW w:w="353" w:type="pct"/>
            <w:tcBorders>
              <w:top w:val="single" w:color="auto" w:sz="2" w:space="0"/>
              <w:left w:val="nil"/>
              <w:bottom w:val="single" w:color="auto" w:sz="2" w:space="0"/>
              <w:right w:val="single" w:color="auto" w:sz="2" w:space="0"/>
            </w:tcBorders>
            <w:shd w:val="clear" w:color="auto" w:fill="auto"/>
            <w:vAlign w:val="center"/>
          </w:tcPr>
          <w:p w14:paraId="3411DB71">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75" w:type="pct"/>
            <w:tcBorders>
              <w:top w:val="single" w:color="auto" w:sz="2" w:space="0"/>
              <w:left w:val="nil"/>
              <w:bottom w:val="single" w:color="auto" w:sz="2" w:space="0"/>
              <w:right w:val="single" w:color="auto" w:sz="2" w:space="0"/>
            </w:tcBorders>
            <w:shd w:val="clear" w:color="auto" w:fill="auto"/>
            <w:vAlign w:val="center"/>
          </w:tcPr>
          <w:p w14:paraId="3186992F">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2" w:space="0"/>
            </w:tcBorders>
            <w:shd w:val="clear" w:color="auto" w:fill="auto"/>
            <w:vAlign w:val="center"/>
          </w:tcPr>
          <w:p w14:paraId="01B3F43C">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12" w:space="0"/>
            </w:tcBorders>
            <w:shd w:val="clear" w:color="auto" w:fill="auto"/>
            <w:vAlign w:val="center"/>
          </w:tcPr>
          <w:p w14:paraId="1318BB12">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r>
      <w:tr w14:paraId="1C477A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487" w:type="pct"/>
            <w:vMerge w:val="restart"/>
            <w:tcBorders>
              <w:top w:val="nil"/>
              <w:left w:val="single" w:color="auto" w:sz="12" w:space="0"/>
              <w:bottom w:val="single" w:color="auto" w:sz="2" w:space="0"/>
              <w:right w:val="single" w:color="auto" w:sz="2" w:space="0"/>
            </w:tcBorders>
            <w:shd w:val="clear" w:color="auto" w:fill="auto"/>
            <w:vAlign w:val="center"/>
          </w:tcPr>
          <w:p w14:paraId="05E88381">
            <w:pPr>
              <w:keepNext w:val="0"/>
              <w:keepLines w:val="0"/>
              <w:widowControl w:val="0"/>
              <w:suppressLineNumbers w:val="0"/>
              <w:autoSpaceDE w:val="0"/>
              <w:autoSpaceDN w:val="0"/>
              <w:adjustRightInd w:val="0"/>
              <w:spacing w:before="0" w:beforeAutospacing="0" w:after="0" w:afterAutospacing="0" w:line="360" w:lineRule="atLeast"/>
              <w:ind w:left="0" w:right="0"/>
              <w:jc w:val="center"/>
              <w:rPr>
                <w:rFonts w:hint="eastAsia" w:ascii="宋体" w:hAnsi="宋体" w:eastAsia="宋体" w:cs="宋体"/>
                <w:kern w:val="0"/>
                <w:sz w:val="21"/>
                <w:szCs w:val="21"/>
              </w:rPr>
            </w:pPr>
            <w:r>
              <w:rPr>
                <w:rFonts w:hint="eastAsia" w:ascii="宋体" w:hAnsi="宋体" w:eastAsia="宋体" w:cs="宋体"/>
                <w:b/>
                <w:bCs w:val="0"/>
                <w:kern w:val="0"/>
                <w:sz w:val="21"/>
                <w:szCs w:val="21"/>
                <w:lang w:val="en-US" w:eastAsia="zh-CN" w:bidi="ar"/>
              </w:rPr>
              <w:t>价格部分</w:t>
            </w:r>
          </w:p>
        </w:tc>
        <w:tc>
          <w:tcPr>
            <w:tcW w:w="518" w:type="pct"/>
            <w:tcBorders>
              <w:top w:val="single" w:color="auto" w:sz="2" w:space="0"/>
              <w:left w:val="nil"/>
              <w:bottom w:val="single" w:color="auto" w:sz="2" w:space="0"/>
              <w:right w:val="single" w:color="auto" w:sz="2" w:space="0"/>
            </w:tcBorders>
            <w:shd w:val="clear" w:color="auto" w:fill="auto"/>
            <w:vAlign w:val="center"/>
          </w:tcPr>
          <w:p w14:paraId="708E02D6">
            <w:pPr>
              <w:keepNext w:val="0"/>
              <w:keepLines w:val="0"/>
              <w:widowControl w:val="0"/>
              <w:numPr>
                <w:ilvl w:val="0"/>
                <w:numId w:val="7"/>
              </w:numPr>
              <w:suppressLineNumbers w:val="0"/>
              <w:autoSpaceDE w:val="0"/>
              <w:autoSpaceDN w:val="0"/>
              <w:adjustRightInd w:val="0"/>
              <w:spacing w:before="0" w:beforeAutospacing="0" w:after="0" w:afterAutospacing="0" w:line="360" w:lineRule="atLeast"/>
              <w:ind w:left="562" w:right="0" w:hanging="420"/>
              <w:jc w:val="center"/>
              <w:rPr>
                <w:rFonts w:hint="eastAsia" w:ascii="宋体" w:hAnsi="宋体" w:eastAsia="宋体" w:cs="宋体"/>
                <w:kern w:val="0"/>
                <w:sz w:val="21"/>
                <w:szCs w:val="21"/>
              </w:rPr>
            </w:pPr>
          </w:p>
        </w:tc>
        <w:tc>
          <w:tcPr>
            <w:tcW w:w="2529" w:type="pct"/>
            <w:tcBorders>
              <w:top w:val="single" w:color="auto" w:sz="2" w:space="0"/>
              <w:left w:val="nil"/>
              <w:bottom w:val="single" w:color="auto" w:sz="2" w:space="0"/>
              <w:right w:val="single" w:color="auto" w:sz="2" w:space="0"/>
            </w:tcBorders>
            <w:shd w:val="clear" w:color="auto" w:fill="auto"/>
            <w:vAlign w:val="center"/>
          </w:tcPr>
          <w:p w14:paraId="042783F2">
            <w:pPr>
              <w:keepNext w:val="0"/>
              <w:keepLines w:val="0"/>
              <w:widowControl w:val="0"/>
              <w:suppressLineNumbers w:val="0"/>
              <w:spacing w:before="0" w:beforeAutospacing="0" w:after="0" w:afterAutospacing="0" w:line="360" w:lineRule="atLeast"/>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报价一览表</w:t>
            </w:r>
          </w:p>
        </w:tc>
        <w:tc>
          <w:tcPr>
            <w:tcW w:w="353" w:type="pct"/>
            <w:tcBorders>
              <w:top w:val="single" w:color="auto" w:sz="2" w:space="0"/>
              <w:left w:val="nil"/>
              <w:bottom w:val="single" w:color="auto" w:sz="2" w:space="0"/>
              <w:right w:val="single" w:color="auto" w:sz="2" w:space="0"/>
            </w:tcBorders>
            <w:shd w:val="clear" w:color="auto" w:fill="auto"/>
            <w:vAlign w:val="center"/>
          </w:tcPr>
          <w:p w14:paraId="0C8077E0">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75" w:type="pct"/>
            <w:tcBorders>
              <w:top w:val="single" w:color="auto" w:sz="2" w:space="0"/>
              <w:left w:val="nil"/>
              <w:bottom w:val="single" w:color="auto" w:sz="2" w:space="0"/>
              <w:right w:val="single" w:color="auto" w:sz="2" w:space="0"/>
            </w:tcBorders>
            <w:shd w:val="clear" w:color="auto" w:fill="auto"/>
            <w:vAlign w:val="center"/>
          </w:tcPr>
          <w:p w14:paraId="47CDFB38">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2" w:space="0"/>
            </w:tcBorders>
            <w:shd w:val="clear" w:color="auto" w:fill="auto"/>
            <w:vAlign w:val="center"/>
          </w:tcPr>
          <w:p w14:paraId="5107BBE0">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2" w:space="0"/>
              <w:right w:val="single" w:color="auto" w:sz="12" w:space="0"/>
            </w:tcBorders>
            <w:shd w:val="clear" w:color="auto" w:fill="auto"/>
            <w:vAlign w:val="center"/>
          </w:tcPr>
          <w:p w14:paraId="3BFD5BE5">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r>
      <w:tr w14:paraId="77B74AD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487" w:type="pct"/>
            <w:vMerge w:val="continue"/>
            <w:tcBorders>
              <w:top w:val="nil"/>
              <w:left w:val="single" w:color="auto" w:sz="12" w:space="0"/>
              <w:bottom w:val="single" w:color="auto" w:sz="2" w:space="0"/>
              <w:right w:val="single" w:color="auto" w:sz="2" w:space="0"/>
            </w:tcBorders>
            <w:shd w:val="clear" w:color="auto" w:fill="auto"/>
            <w:vAlign w:val="center"/>
          </w:tcPr>
          <w:p w14:paraId="1D879675">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518" w:type="pct"/>
            <w:tcBorders>
              <w:top w:val="single" w:color="auto" w:sz="2" w:space="0"/>
              <w:left w:val="nil"/>
              <w:bottom w:val="single" w:color="auto" w:sz="12" w:space="0"/>
              <w:right w:val="single" w:color="auto" w:sz="2" w:space="0"/>
            </w:tcBorders>
            <w:shd w:val="clear" w:color="auto" w:fill="auto"/>
            <w:vAlign w:val="center"/>
          </w:tcPr>
          <w:p w14:paraId="42BF0DD6">
            <w:pPr>
              <w:keepNext w:val="0"/>
              <w:keepLines w:val="0"/>
              <w:widowControl w:val="0"/>
              <w:numPr>
                <w:ilvl w:val="0"/>
                <w:numId w:val="7"/>
              </w:numPr>
              <w:suppressLineNumbers w:val="0"/>
              <w:autoSpaceDE w:val="0"/>
              <w:autoSpaceDN w:val="0"/>
              <w:adjustRightInd w:val="0"/>
              <w:spacing w:before="0" w:beforeAutospacing="0" w:after="0" w:afterAutospacing="0" w:line="360" w:lineRule="atLeast"/>
              <w:ind w:left="562" w:right="0" w:hanging="420"/>
              <w:jc w:val="center"/>
              <w:rPr>
                <w:rFonts w:hint="eastAsia" w:ascii="宋体" w:hAnsi="宋体" w:eastAsia="宋体" w:cs="宋体"/>
                <w:kern w:val="0"/>
                <w:sz w:val="21"/>
                <w:szCs w:val="21"/>
              </w:rPr>
            </w:pPr>
          </w:p>
        </w:tc>
        <w:tc>
          <w:tcPr>
            <w:tcW w:w="2529" w:type="pct"/>
            <w:tcBorders>
              <w:top w:val="single" w:color="auto" w:sz="2" w:space="0"/>
              <w:left w:val="nil"/>
              <w:bottom w:val="single" w:color="auto" w:sz="12" w:space="0"/>
              <w:right w:val="single" w:color="auto" w:sz="2" w:space="0"/>
            </w:tcBorders>
            <w:shd w:val="clear" w:color="auto" w:fill="auto"/>
            <w:vAlign w:val="center"/>
          </w:tcPr>
          <w:p w14:paraId="3824D5D5">
            <w:pPr>
              <w:keepNext w:val="0"/>
              <w:keepLines w:val="0"/>
              <w:widowControl w:val="0"/>
              <w:suppressLineNumbers w:val="0"/>
              <w:spacing w:before="0" w:beforeAutospacing="0" w:after="0" w:afterAutospacing="0" w:line="360" w:lineRule="atLeast"/>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报价明细表</w:t>
            </w:r>
          </w:p>
        </w:tc>
        <w:tc>
          <w:tcPr>
            <w:tcW w:w="353" w:type="pct"/>
            <w:tcBorders>
              <w:top w:val="single" w:color="auto" w:sz="2" w:space="0"/>
              <w:left w:val="nil"/>
              <w:bottom w:val="single" w:color="auto" w:sz="12" w:space="0"/>
              <w:right w:val="single" w:color="auto" w:sz="2" w:space="0"/>
            </w:tcBorders>
            <w:shd w:val="clear" w:color="auto" w:fill="auto"/>
            <w:vAlign w:val="center"/>
          </w:tcPr>
          <w:p w14:paraId="69E76795">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75" w:type="pct"/>
            <w:tcBorders>
              <w:top w:val="single" w:color="auto" w:sz="2" w:space="0"/>
              <w:left w:val="nil"/>
              <w:bottom w:val="single" w:color="auto" w:sz="12" w:space="0"/>
              <w:right w:val="single" w:color="auto" w:sz="2" w:space="0"/>
            </w:tcBorders>
            <w:shd w:val="clear" w:color="auto" w:fill="auto"/>
            <w:vAlign w:val="center"/>
          </w:tcPr>
          <w:p w14:paraId="0B23895C">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12" w:space="0"/>
              <w:right w:val="single" w:color="auto" w:sz="2" w:space="0"/>
            </w:tcBorders>
            <w:shd w:val="clear" w:color="auto" w:fill="auto"/>
            <w:vAlign w:val="center"/>
          </w:tcPr>
          <w:p w14:paraId="0BB39FE6">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c>
          <w:tcPr>
            <w:tcW w:w="368" w:type="pct"/>
            <w:tcBorders>
              <w:top w:val="single" w:color="auto" w:sz="2" w:space="0"/>
              <w:left w:val="nil"/>
              <w:bottom w:val="single" w:color="auto" w:sz="12" w:space="0"/>
              <w:right w:val="single" w:color="auto" w:sz="12" w:space="0"/>
            </w:tcBorders>
            <w:shd w:val="clear" w:color="auto" w:fill="auto"/>
            <w:vAlign w:val="center"/>
          </w:tcPr>
          <w:p w14:paraId="1D11F94B">
            <w:pPr>
              <w:keepNext w:val="0"/>
              <w:keepLines w:val="0"/>
              <w:widowControl w:val="0"/>
              <w:suppressLineNumbers w:val="0"/>
              <w:autoSpaceDE w:val="0"/>
              <w:autoSpaceDN w:val="0"/>
              <w:adjustRightInd w:val="0"/>
              <w:spacing w:before="0" w:beforeAutospacing="0" w:after="0" w:afterAutospacing="0" w:line="360" w:lineRule="atLeast"/>
              <w:ind w:left="630" w:right="0"/>
              <w:jc w:val="center"/>
              <w:rPr>
                <w:rFonts w:hint="eastAsia" w:ascii="宋体" w:hAnsi="宋体" w:eastAsia="宋体" w:cs="宋体"/>
                <w:kern w:val="0"/>
                <w:sz w:val="21"/>
                <w:szCs w:val="21"/>
              </w:rPr>
            </w:pPr>
          </w:p>
        </w:tc>
      </w:tr>
    </w:tbl>
    <w:p w14:paraId="3DF486E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注：1. 投标供应商以上所递交的资料都按规定加盖投标供应商公章；</w:t>
      </w:r>
    </w:p>
    <w:p w14:paraId="04AEF185">
      <w:pPr>
        <w:keepNext w:val="0"/>
        <w:keepLines w:val="0"/>
        <w:widowControl w:val="0"/>
        <w:suppressLineNumbers w:val="0"/>
        <w:spacing w:before="0" w:beforeAutospacing="0" w:after="0" w:afterAutospacing="0" w:line="360" w:lineRule="auto"/>
        <w:ind w:left="717" w:leftChars="195" w:right="0" w:hanging="308" w:hangingChars="147"/>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 投标供应商认为有必要提交的其他文件可自行增加表格栏目，以上投标文件提交时须按照《投标文件目录表》的排列顺序装订成册。</w:t>
      </w:r>
    </w:p>
    <w:p w14:paraId="534A02F5">
      <w:pPr>
        <w:pStyle w:val="2"/>
        <w:keepNext w:val="0"/>
        <w:keepLines w:val="0"/>
        <w:widowControl/>
        <w:suppressLineNumbers w:val="0"/>
        <w:spacing w:before="0" w:beforeAutospacing="0" w:after="0" w:afterAutospacing="0" w:line="360" w:lineRule="auto"/>
        <w:jc w:val="center"/>
        <w:outlineLvl w:val="2"/>
        <w:rPr>
          <w:rFonts w:hint="eastAsia" w:ascii="黑体" w:hAnsi="宋体" w:eastAsia="黑体" w:cs="黑体"/>
          <w:b w:val="0"/>
          <w:bCs w:val="0"/>
          <w:kern w:val="44"/>
          <w:sz w:val="32"/>
          <w:szCs w:val="32"/>
        </w:rPr>
      </w:pPr>
      <w:r>
        <w:rPr>
          <w:rFonts w:hint="eastAsia" w:ascii="宋体" w:hAnsi="宋体" w:eastAsia="宋体" w:cs="宋体"/>
          <w:b/>
          <w:bCs/>
          <w:kern w:val="2"/>
          <w:sz w:val="21"/>
          <w:szCs w:val="21"/>
        </w:rPr>
        <w:br w:type="page"/>
      </w:r>
      <w:r>
        <w:rPr>
          <w:rFonts w:hint="eastAsia" w:ascii="宋体" w:hAnsi="宋体" w:eastAsia="宋体" w:cs="宋体"/>
          <w:b/>
          <w:bCs/>
          <w:kern w:val="2"/>
          <w:sz w:val="21"/>
          <w:szCs w:val="21"/>
        </w:rPr>
        <w:t>一、</w:t>
      </w:r>
      <w:r>
        <w:rPr>
          <w:rFonts w:hint="eastAsia" w:ascii="黑体" w:hAnsi="宋体" w:eastAsia="黑体" w:cs="黑体"/>
          <w:b w:val="0"/>
          <w:bCs w:val="0"/>
          <w:kern w:val="44"/>
          <w:sz w:val="32"/>
          <w:szCs w:val="32"/>
        </w:rPr>
        <w:t>资格性自查表</w:t>
      </w:r>
    </w:p>
    <w:tbl>
      <w:tblPr>
        <w:tblStyle w:val="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57" w:type="dxa"/>
          <w:bottom w:w="0" w:type="dxa"/>
          <w:right w:w="57" w:type="dxa"/>
        </w:tblCellMar>
      </w:tblPr>
      <w:tblGrid>
        <w:gridCol w:w="623"/>
        <w:gridCol w:w="4491"/>
        <w:gridCol w:w="1026"/>
        <w:gridCol w:w="1034"/>
        <w:gridCol w:w="1243"/>
      </w:tblGrid>
      <w:tr w14:paraId="47FA5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732" w:hRule="atLeast"/>
          <w:jc w:val="center"/>
        </w:trPr>
        <w:tc>
          <w:tcPr>
            <w:tcW w:w="370" w:type="pct"/>
            <w:tcBorders>
              <w:top w:val="single" w:color="auto" w:sz="4" w:space="0"/>
              <w:left w:val="single" w:color="auto" w:sz="4" w:space="0"/>
              <w:bottom w:val="single" w:color="auto" w:sz="4" w:space="0"/>
              <w:right w:val="single" w:color="auto" w:sz="4" w:space="0"/>
            </w:tcBorders>
            <w:shd w:val="clear" w:color="auto" w:fill="D9D9D9"/>
            <w:vAlign w:val="center"/>
          </w:tcPr>
          <w:p w14:paraId="3CF4CD35">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黑体" w:hAnsi="宋体" w:eastAsia="黑体" w:cs="黑体"/>
                <w:b/>
                <w:bCs w:val="0"/>
                <w:kern w:val="2"/>
                <w:sz w:val="24"/>
                <w:szCs w:val="24"/>
                <w:lang w:val="en-US" w:eastAsia="zh-CN" w:bidi="ar"/>
              </w:rPr>
              <w:t>序号</w:t>
            </w:r>
          </w:p>
        </w:tc>
        <w:tc>
          <w:tcPr>
            <w:tcW w:w="2667" w:type="pct"/>
            <w:tcBorders>
              <w:top w:val="single" w:color="auto" w:sz="4" w:space="0"/>
              <w:left w:val="nil"/>
              <w:bottom w:val="single" w:color="auto" w:sz="4" w:space="0"/>
              <w:right w:val="single" w:color="auto" w:sz="4" w:space="0"/>
            </w:tcBorders>
            <w:shd w:val="clear" w:color="auto" w:fill="D9D9D9"/>
            <w:vAlign w:val="center"/>
          </w:tcPr>
          <w:p w14:paraId="7DD4F099">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b/>
                <w:bCs w:val="0"/>
                <w:kern w:val="2"/>
                <w:sz w:val="24"/>
                <w:szCs w:val="24"/>
              </w:rPr>
            </w:pPr>
            <w:r>
              <w:rPr>
                <w:rFonts w:hint="eastAsia" w:ascii="黑体" w:hAnsi="宋体" w:eastAsia="黑体" w:cs="黑体"/>
                <w:b/>
                <w:bCs w:val="0"/>
                <w:kern w:val="2"/>
                <w:sz w:val="24"/>
                <w:szCs w:val="24"/>
                <w:lang w:val="en-US" w:eastAsia="zh-CN" w:bidi="ar"/>
              </w:rPr>
              <w:t>审查内容</w:t>
            </w:r>
          </w:p>
        </w:tc>
        <w:tc>
          <w:tcPr>
            <w:tcW w:w="609" w:type="pct"/>
            <w:tcBorders>
              <w:top w:val="single" w:color="auto" w:sz="4" w:space="0"/>
              <w:left w:val="nil"/>
              <w:bottom w:val="single" w:color="auto" w:sz="4" w:space="0"/>
              <w:right w:val="single" w:color="auto" w:sz="4" w:space="0"/>
            </w:tcBorders>
            <w:shd w:val="clear" w:color="auto" w:fill="D9D9D9"/>
            <w:vAlign w:val="center"/>
          </w:tcPr>
          <w:p w14:paraId="2BE0CFDF">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黑体" w:hAnsi="宋体" w:eastAsia="黑体" w:cs="黑体"/>
                <w:b/>
                <w:bCs/>
                <w:kern w:val="2"/>
                <w:sz w:val="24"/>
                <w:szCs w:val="24"/>
                <w:lang w:val="en-US" w:eastAsia="zh-CN" w:bidi="ar"/>
              </w:rPr>
              <w:t>审查标准</w:t>
            </w:r>
          </w:p>
        </w:tc>
        <w:tc>
          <w:tcPr>
            <w:tcW w:w="614" w:type="pct"/>
            <w:tcBorders>
              <w:top w:val="single" w:color="auto" w:sz="4" w:space="0"/>
              <w:left w:val="nil"/>
              <w:bottom w:val="single" w:color="auto" w:sz="4" w:space="0"/>
              <w:right w:val="single" w:color="auto" w:sz="4" w:space="0"/>
            </w:tcBorders>
            <w:shd w:val="clear" w:color="auto" w:fill="D9D9D9"/>
            <w:vAlign w:val="center"/>
          </w:tcPr>
          <w:p w14:paraId="76EEB974">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黑体" w:hAnsi="宋体" w:eastAsia="黑体" w:cs="黑体"/>
                <w:b/>
                <w:bCs/>
                <w:kern w:val="2"/>
                <w:sz w:val="24"/>
                <w:szCs w:val="24"/>
                <w:lang w:val="en-US" w:eastAsia="zh-CN" w:bidi="ar"/>
              </w:rPr>
              <w:t>自查结论</w:t>
            </w:r>
          </w:p>
        </w:tc>
        <w:tc>
          <w:tcPr>
            <w:tcW w:w="738" w:type="pct"/>
            <w:tcBorders>
              <w:top w:val="single" w:color="auto" w:sz="4" w:space="0"/>
              <w:left w:val="nil"/>
              <w:bottom w:val="single" w:color="auto" w:sz="4" w:space="0"/>
              <w:right w:val="single" w:color="auto" w:sz="4" w:space="0"/>
            </w:tcBorders>
            <w:shd w:val="clear" w:color="auto" w:fill="D9D9D9"/>
            <w:vAlign w:val="center"/>
          </w:tcPr>
          <w:p w14:paraId="3DC39BCD">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黑体" w:hAnsi="宋体" w:eastAsia="黑体" w:cs="黑体"/>
                <w:b/>
                <w:bCs/>
                <w:kern w:val="2"/>
                <w:sz w:val="24"/>
                <w:szCs w:val="24"/>
                <w:lang w:val="en-US" w:eastAsia="zh-CN" w:bidi="ar"/>
              </w:rPr>
              <w:t>证明资料</w:t>
            </w:r>
          </w:p>
        </w:tc>
      </w:tr>
      <w:tr w14:paraId="785A2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454" w:hRule="atLeast"/>
          <w:jc w:val="center"/>
        </w:trPr>
        <w:tc>
          <w:tcPr>
            <w:tcW w:w="370" w:type="pct"/>
            <w:tcBorders>
              <w:top w:val="single" w:color="auto" w:sz="4" w:space="0"/>
              <w:left w:val="single" w:color="auto" w:sz="4" w:space="0"/>
              <w:bottom w:val="single" w:color="auto" w:sz="4" w:space="0"/>
              <w:right w:val="single" w:color="auto" w:sz="4" w:space="0"/>
            </w:tcBorders>
            <w:shd w:val="clear" w:color="auto" w:fill="auto"/>
            <w:vAlign w:val="center"/>
          </w:tcPr>
          <w:p w14:paraId="33B5848E">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宋体" w:hAnsi="宋体" w:eastAsia="宋体" w:cs="宋体"/>
                <w:kern w:val="2"/>
                <w:sz w:val="24"/>
                <w:szCs w:val="24"/>
                <w:lang w:val="en-US" w:eastAsia="zh-CN" w:bidi="ar"/>
              </w:rPr>
              <w:t>1</w:t>
            </w:r>
          </w:p>
        </w:tc>
        <w:tc>
          <w:tcPr>
            <w:tcW w:w="2667" w:type="pct"/>
            <w:tcBorders>
              <w:top w:val="single" w:color="auto" w:sz="4" w:space="0"/>
              <w:left w:val="nil"/>
              <w:bottom w:val="single" w:color="auto" w:sz="4" w:space="0"/>
              <w:right w:val="single" w:color="auto" w:sz="4" w:space="0"/>
            </w:tcBorders>
            <w:shd w:val="clear" w:color="auto" w:fill="auto"/>
            <w:vAlign w:val="center"/>
          </w:tcPr>
          <w:p w14:paraId="06ECBC01">
            <w:pPr>
              <w:keepNext w:val="0"/>
              <w:keepLines w:val="0"/>
              <w:widowControl w:val="0"/>
              <w:suppressLineNumbers w:val="0"/>
              <w:spacing w:before="0" w:beforeAutospacing="0" w:after="0" w:afterAutospacing="0" w:line="360" w:lineRule="auto"/>
              <w:ind w:left="0" w:right="0"/>
              <w:jc w:val="both"/>
              <w:rPr>
                <w:rFonts w:hint="eastAsia" w:ascii="黑体" w:hAnsi="宋体" w:eastAsia="黑体" w:cs="黑体"/>
                <w:kern w:val="2"/>
                <w:sz w:val="24"/>
                <w:szCs w:val="24"/>
              </w:rPr>
            </w:pPr>
            <w:r>
              <w:rPr>
                <w:rFonts w:hint="eastAsia" w:ascii="黑体" w:hAnsi="宋体" w:eastAsia="黑体" w:cs="黑体"/>
                <w:color w:val="000000"/>
                <w:kern w:val="2"/>
                <w:sz w:val="24"/>
                <w:szCs w:val="24"/>
                <w:lang w:val="en-US" w:eastAsia="zh-CN" w:bidi="ar"/>
              </w:rPr>
              <w:t>具有独立承担民事责任的能力：在中华人民共和国境内注册的法人或其他组织或自然人，投标时提交有效的营业执照（或事业法人登记证或身份证等相关证明）副本复印件。分支机构投标的，须提供总公司和分公司营业执照副本复印件，总公司出具给分支机构的授权书。</w:t>
            </w:r>
          </w:p>
        </w:tc>
        <w:tc>
          <w:tcPr>
            <w:tcW w:w="609" w:type="pct"/>
            <w:vMerge w:val="restart"/>
            <w:tcBorders>
              <w:top w:val="nil"/>
              <w:left w:val="nil"/>
              <w:bottom w:val="single" w:color="auto" w:sz="4" w:space="0"/>
              <w:right w:val="single" w:color="auto" w:sz="4" w:space="0"/>
            </w:tcBorders>
            <w:shd w:val="clear" w:color="auto" w:fill="auto"/>
            <w:vAlign w:val="center"/>
          </w:tcPr>
          <w:p w14:paraId="0978B56E">
            <w:pPr>
              <w:keepNext w:val="0"/>
              <w:keepLines w:val="0"/>
              <w:widowControl w:val="0"/>
              <w:suppressLineNumbers w:val="0"/>
              <w:spacing w:before="0" w:beforeAutospacing="0" w:after="0" w:afterAutospacing="0"/>
              <w:ind w:left="0" w:right="0"/>
              <w:jc w:val="both"/>
              <w:rPr>
                <w:rFonts w:hint="eastAsia" w:ascii="黑体" w:hAnsi="宋体" w:eastAsia="黑体" w:cs="黑体"/>
                <w:kern w:val="2"/>
                <w:sz w:val="21"/>
                <w:szCs w:val="21"/>
              </w:rPr>
            </w:pPr>
            <w:r>
              <w:rPr>
                <w:rFonts w:hint="default" w:ascii="Tahoma" w:hAnsi="Tahoma" w:eastAsia="Tahoma" w:cs="Tahoma"/>
                <w:kern w:val="2"/>
                <w:sz w:val="24"/>
                <w:szCs w:val="24"/>
                <w:lang w:val="en-US" w:eastAsia="zh-CN" w:bidi="ar"/>
              </w:rPr>
              <w:t>详见招标文件中“供应商资格”</w:t>
            </w:r>
          </w:p>
          <w:p w14:paraId="5169F904">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p>
        </w:tc>
        <w:tc>
          <w:tcPr>
            <w:tcW w:w="614" w:type="pct"/>
            <w:tcBorders>
              <w:top w:val="single" w:color="auto" w:sz="4" w:space="0"/>
              <w:left w:val="nil"/>
              <w:bottom w:val="single" w:color="auto" w:sz="4" w:space="0"/>
              <w:right w:val="single" w:color="auto" w:sz="4" w:space="0"/>
            </w:tcBorders>
            <w:shd w:val="clear" w:color="auto" w:fill="auto"/>
            <w:vAlign w:val="center"/>
          </w:tcPr>
          <w:p w14:paraId="7A854414">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通过；</w:t>
            </w:r>
          </w:p>
          <w:p w14:paraId="615AF028">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不通过</w:t>
            </w:r>
          </w:p>
        </w:tc>
        <w:tc>
          <w:tcPr>
            <w:tcW w:w="738" w:type="pct"/>
            <w:tcBorders>
              <w:top w:val="single" w:color="auto" w:sz="4" w:space="0"/>
              <w:left w:val="nil"/>
              <w:bottom w:val="single" w:color="auto" w:sz="4" w:space="0"/>
              <w:right w:val="single" w:color="auto" w:sz="4" w:space="0"/>
            </w:tcBorders>
            <w:shd w:val="clear" w:color="auto" w:fill="auto"/>
            <w:vAlign w:val="center"/>
          </w:tcPr>
          <w:p w14:paraId="02215564">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见投标文件</w:t>
            </w:r>
          </w:p>
          <w:p w14:paraId="3C9E1EFA">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第（）页</w:t>
            </w:r>
          </w:p>
        </w:tc>
      </w:tr>
      <w:tr w14:paraId="75E8E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1164" w:hRule="atLeast"/>
          <w:jc w:val="center"/>
        </w:trPr>
        <w:tc>
          <w:tcPr>
            <w:tcW w:w="370" w:type="pct"/>
            <w:tcBorders>
              <w:top w:val="single" w:color="auto" w:sz="4" w:space="0"/>
              <w:left w:val="single" w:color="auto" w:sz="4" w:space="0"/>
              <w:bottom w:val="single" w:color="auto" w:sz="4" w:space="0"/>
              <w:right w:val="single" w:color="auto" w:sz="4" w:space="0"/>
            </w:tcBorders>
            <w:shd w:val="clear" w:color="auto" w:fill="auto"/>
            <w:vAlign w:val="center"/>
          </w:tcPr>
          <w:p w14:paraId="36E90EF3">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2</w:t>
            </w:r>
          </w:p>
        </w:tc>
        <w:tc>
          <w:tcPr>
            <w:tcW w:w="2667" w:type="pct"/>
            <w:tcBorders>
              <w:top w:val="single" w:color="auto" w:sz="4" w:space="0"/>
              <w:left w:val="nil"/>
              <w:bottom w:val="single" w:color="auto" w:sz="4" w:space="0"/>
              <w:right w:val="single" w:color="auto" w:sz="4" w:space="0"/>
            </w:tcBorders>
            <w:shd w:val="clear" w:color="auto" w:fill="auto"/>
            <w:vAlign w:val="center"/>
          </w:tcPr>
          <w:p w14:paraId="15A9F804">
            <w:pPr>
              <w:keepNext w:val="0"/>
              <w:keepLines w:val="0"/>
              <w:widowControl w:val="0"/>
              <w:suppressLineNumbers w:val="0"/>
              <w:spacing w:before="0" w:beforeAutospacing="0" w:after="0" w:afterAutospacing="0" w:line="360" w:lineRule="auto"/>
              <w:ind w:left="0" w:right="0"/>
              <w:jc w:val="both"/>
              <w:rPr>
                <w:rFonts w:hint="eastAsia" w:ascii="宋体" w:hAnsi="宋体" w:eastAsia="黑体" w:cs="宋体"/>
                <w:kern w:val="2"/>
                <w:sz w:val="24"/>
                <w:szCs w:val="24"/>
              </w:rPr>
            </w:pPr>
            <w:r>
              <w:rPr>
                <w:rFonts w:hint="eastAsia" w:ascii="黑体" w:hAnsi="宋体" w:eastAsia="黑体" w:cs="黑体"/>
                <w:kern w:val="2"/>
                <w:sz w:val="24"/>
                <w:szCs w:val="24"/>
                <w:lang w:val="en-US" w:eastAsia="zh-CN" w:bidi="ar"/>
              </w:rPr>
              <w:t>具有良好的商业信誉和健全的财务会计制度：提供2023年或2024年财务状况报告或银行出具的资信证明材料。</w:t>
            </w:r>
          </w:p>
        </w:tc>
        <w:tc>
          <w:tcPr>
            <w:tcW w:w="609" w:type="pct"/>
            <w:vMerge w:val="continue"/>
            <w:tcBorders>
              <w:top w:val="nil"/>
              <w:left w:val="nil"/>
              <w:bottom w:val="single" w:color="auto" w:sz="4" w:space="0"/>
              <w:right w:val="single" w:color="auto" w:sz="4" w:space="0"/>
            </w:tcBorders>
            <w:shd w:val="clear" w:color="auto" w:fill="auto"/>
            <w:vAlign w:val="center"/>
          </w:tcPr>
          <w:p w14:paraId="7748372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14" w:type="pct"/>
            <w:tcBorders>
              <w:top w:val="single" w:color="auto" w:sz="4" w:space="0"/>
              <w:left w:val="nil"/>
              <w:bottom w:val="single" w:color="auto" w:sz="4" w:space="0"/>
              <w:right w:val="single" w:color="auto" w:sz="4" w:space="0"/>
            </w:tcBorders>
            <w:shd w:val="clear" w:color="auto" w:fill="auto"/>
            <w:vAlign w:val="center"/>
          </w:tcPr>
          <w:p w14:paraId="6CFE50F9">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通过；</w:t>
            </w:r>
          </w:p>
          <w:p w14:paraId="26E9DD6F">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不通过</w:t>
            </w:r>
          </w:p>
        </w:tc>
        <w:tc>
          <w:tcPr>
            <w:tcW w:w="738" w:type="pct"/>
            <w:tcBorders>
              <w:top w:val="single" w:color="auto" w:sz="4" w:space="0"/>
              <w:left w:val="nil"/>
              <w:bottom w:val="single" w:color="auto" w:sz="4" w:space="0"/>
              <w:right w:val="single" w:color="auto" w:sz="4" w:space="0"/>
            </w:tcBorders>
            <w:shd w:val="clear" w:color="auto" w:fill="auto"/>
            <w:vAlign w:val="center"/>
          </w:tcPr>
          <w:p w14:paraId="15277601">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见投标文件</w:t>
            </w:r>
          </w:p>
          <w:p w14:paraId="372A006F">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第（）页</w:t>
            </w:r>
          </w:p>
        </w:tc>
      </w:tr>
      <w:tr w14:paraId="7CECC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1164" w:hRule="atLeast"/>
          <w:jc w:val="center"/>
        </w:trPr>
        <w:tc>
          <w:tcPr>
            <w:tcW w:w="370" w:type="pct"/>
            <w:tcBorders>
              <w:top w:val="single" w:color="auto" w:sz="4" w:space="0"/>
              <w:left w:val="single" w:color="auto" w:sz="4" w:space="0"/>
              <w:bottom w:val="single" w:color="auto" w:sz="4" w:space="0"/>
              <w:right w:val="single" w:color="auto" w:sz="4" w:space="0"/>
            </w:tcBorders>
            <w:shd w:val="clear" w:color="auto" w:fill="auto"/>
            <w:vAlign w:val="center"/>
          </w:tcPr>
          <w:p w14:paraId="0CA66959">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宋体" w:hAnsi="宋体" w:eastAsia="宋体" w:cs="宋体"/>
                <w:kern w:val="2"/>
                <w:sz w:val="24"/>
                <w:szCs w:val="24"/>
                <w:lang w:val="en-US" w:eastAsia="zh-CN" w:bidi="ar"/>
              </w:rPr>
              <w:t>3</w:t>
            </w:r>
          </w:p>
        </w:tc>
        <w:tc>
          <w:tcPr>
            <w:tcW w:w="2667" w:type="pct"/>
            <w:tcBorders>
              <w:top w:val="single" w:color="auto" w:sz="4" w:space="0"/>
              <w:left w:val="nil"/>
              <w:bottom w:val="single" w:color="auto" w:sz="4" w:space="0"/>
              <w:right w:val="single" w:color="auto" w:sz="4" w:space="0"/>
            </w:tcBorders>
            <w:shd w:val="clear" w:color="auto" w:fill="auto"/>
            <w:vAlign w:val="center"/>
          </w:tcPr>
          <w:p w14:paraId="7A75E36D">
            <w:pPr>
              <w:keepNext w:val="0"/>
              <w:keepLines w:val="0"/>
              <w:widowControl w:val="0"/>
              <w:suppressLineNumbers w:val="0"/>
              <w:spacing w:before="0" w:beforeAutospacing="0" w:after="0" w:afterAutospacing="0" w:line="360" w:lineRule="auto"/>
              <w:ind w:left="0" w:right="0"/>
              <w:jc w:val="both"/>
              <w:rPr>
                <w:rFonts w:hint="eastAsia" w:ascii="黑体" w:hAnsi="宋体" w:eastAsia="黑体" w:cs="黑体"/>
                <w:bCs/>
                <w:kern w:val="2"/>
                <w:sz w:val="24"/>
                <w:szCs w:val="24"/>
              </w:rPr>
            </w:pPr>
            <w:r>
              <w:rPr>
                <w:rFonts w:hint="eastAsia" w:ascii="黑体" w:hAnsi="宋体" w:eastAsia="黑体" w:cs="黑体"/>
                <w:kern w:val="2"/>
                <w:sz w:val="24"/>
                <w:szCs w:val="24"/>
                <w:lang w:val="en-US" w:eastAsia="zh-CN" w:bidi="ar"/>
              </w:rPr>
              <w:t>具有依法缴纳税收和社会保障资金的良好记录：须提供至磋商截止之日前6个月以内任意一个月依法缴纳税收及依法缴纳社会保障资金相关证明材料；如依法免税或依法不需要缴纳社会保障资金的，应提供相应文件证明其依法免税或不需要缴纳社会保障资金。</w:t>
            </w:r>
          </w:p>
        </w:tc>
        <w:tc>
          <w:tcPr>
            <w:tcW w:w="609" w:type="pct"/>
            <w:vMerge w:val="continue"/>
            <w:tcBorders>
              <w:top w:val="nil"/>
              <w:left w:val="nil"/>
              <w:bottom w:val="single" w:color="auto" w:sz="4" w:space="0"/>
              <w:right w:val="single" w:color="auto" w:sz="4" w:space="0"/>
            </w:tcBorders>
            <w:shd w:val="clear" w:color="auto" w:fill="auto"/>
            <w:vAlign w:val="center"/>
          </w:tcPr>
          <w:p w14:paraId="6EAD0F65">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14" w:type="pct"/>
            <w:tcBorders>
              <w:top w:val="single" w:color="auto" w:sz="4" w:space="0"/>
              <w:left w:val="nil"/>
              <w:bottom w:val="single" w:color="auto" w:sz="4" w:space="0"/>
              <w:right w:val="single" w:color="auto" w:sz="4" w:space="0"/>
            </w:tcBorders>
            <w:shd w:val="clear" w:color="auto" w:fill="auto"/>
            <w:vAlign w:val="center"/>
          </w:tcPr>
          <w:p w14:paraId="1224F8F9">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通过；</w:t>
            </w:r>
          </w:p>
          <w:p w14:paraId="515C7F45">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不通过</w:t>
            </w:r>
          </w:p>
        </w:tc>
        <w:tc>
          <w:tcPr>
            <w:tcW w:w="738" w:type="pct"/>
            <w:tcBorders>
              <w:top w:val="single" w:color="auto" w:sz="4" w:space="0"/>
              <w:left w:val="nil"/>
              <w:bottom w:val="single" w:color="auto" w:sz="4" w:space="0"/>
              <w:right w:val="single" w:color="auto" w:sz="4" w:space="0"/>
            </w:tcBorders>
            <w:shd w:val="clear" w:color="auto" w:fill="auto"/>
            <w:vAlign w:val="center"/>
          </w:tcPr>
          <w:p w14:paraId="43E5BB81">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见投标文件</w:t>
            </w:r>
          </w:p>
          <w:p w14:paraId="5156E176">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第（）页</w:t>
            </w:r>
          </w:p>
        </w:tc>
      </w:tr>
      <w:tr w14:paraId="3B575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1134" w:hRule="atLeast"/>
          <w:jc w:val="center"/>
        </w:trPr>
        <w:tc>
          <w:tcPr>
            <w:tcW w:w="370" w:type="pct"/>
            <w:tcBorders>
              <w:top w:val="single" w:color="auto" w:sz="4" w:space="0"/>
              <w:left w:val="single" w:color="auto" w:sz="4" w:space="0"/>
              <w:bottom w:val="single" w:color="auto" w:sz="4" w:space="0"/>
              <w:right w:val="single" w:color="auto" w:sz="4" w:space="0"/>
            </w:tcBorders>
            <w:shd w:val="clear" w:color="auto" w:fill="auto"/>
            <w:vAlign w:val="center"/>
          </w:tcPr>
          <w:p w14:paraId="3BFE370F">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宋体" w:hAnsi="宋体" w:eastAsia="宋体" w:cs="宋体"/>
                <w:kern w:val="2"/>
                <w:sz w:val="24"/>
                <w:szCs w:val="24"/>
                <w:lang w:val="en-US" w:eastAsia="zh-CN" w:bidi="ar"/>
              </w:rPr>
              <w:t>4</w:t>
            </w:r>
          </w:p>
        </w:tc>
        <w:tc>
          <w:tcPr>
            <w:tcW w:w="2667" w:type="pct"/>
            <w:tcBorders>
              <w:top w:val="single" w:color="auto" w:sz="4" w:space="0"/>
              <w:left w:val="nil"/>
              <w:bottom w:val="single" w:color="auto" w:sz="4" w:space="0"/>
              <w:right w:val="single" w:color="auto" w:sz="4" w:space="0"/>
            </w:tcBorders>
            <w:shd w:val="clear" w:color="auto" w:fill="auto"/>
            <w:vAlign w:val="center"/>
          </w:tcPr>
          <w:p w14:paraId="46984EB3">
            <w:pPr>
              <w:keepNext w:val="0"/>
              <w:keepLines w:val="0"/>
              <w:widowControl w:val="0"/>
              <w:suppressLineNumbers w:val="0"/>
              <w:spacing w:before="0" w:beforeAutospacing="0" w:after="0" w:afterAutospacing="0" w:line="360" w:lineRule="auto"/>
              <w:ind w:left="0" w:right="0"/>
              <w:jc w:val="both"/>
              <w:rPr>
                <w:rFonts w:hint="eastAsia" w:ascii="黑体" w:hAnsi="宋体" w:eastAsia="黑体" w:cs="黑体"/>
                <w:bCs/>
                <w:kern w:val="2"/>
                <w:sz w:val="24"/>
                <w:szCs w:val="24"/>
              </w:rPr>
            </w:pPr>
            <w:r>
              <w:rPr>
                <w:rFonts w:hint="eastAsia" w:ascii="黑体" w:hAnsi="宋体" w:eastAsia="黑体" w:cs="黑体"/>
                <w:kern w:val="2"/>
                <w:sz w:val="24"/>
                <w:szCs w:val="24"/>
                <w:lang w:val="en-US" w:eastAsia="zh-CN" w:bidi="ar"/>
              </w:rPr>
              <w:t>具有履行合同所必需的设备和专业技术能力：提供《供应商资格承诺函》。</w:t>
            </w:r>
          </w:p>
        </w:tc>
        <w:tc>
          <w:tcPr>
            <w:tcW w:w="609" w:type="pct"/>
            <w:vMerge w:val="continue"/>
            <w:tcBorders>
              <w:top w:val="nil"/>
              <w:left w:val="nil"/>
              <w:bottom w:val="single" w:color="auto" w:sz="4" w:space="0"/>
              <w:right w:val="single" w:color="auto" w:sz="4" w:space="0"/>
            </w:tcBorders>
            <w:shd w:val="clear" w:color="auto" w:fill="auto"/>
            <w:vAlign w:val="center"/>
          </w:tcPr>
          <w:p w14:paraId="4DC9DE9F">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14" w:type="pct"/>
            <w:tcBorders>
              <w:top w:val="single" w:color="auto" w:sz="4" w:space="0"/>
              <w:left w:val="nil"/>
              <w:bottom w:val="single" w:color="auto" w:sz="4" w:space="0"/>
              <w:right w:val="single" w:color="auto" w:sz="4" w:space="0"/>
            </w:tcBorders>
            <w:shd w:val="clear" w:color="auto" w:fill="auto"/>
            <w:vAlign w:val="center"/>
          </w:tcPr>
          <w:p w14:paraId="256264A4">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通过；</w:t>
            </w:r>
          </w:p>
          <w:p w14:paraId="2A240828">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不通过</w:t>
            </w:r>
          </w:p>
        </w:tc>
        <w:tc>
          <w:tcPr>
            <w:tcW w:w="738" w:type="pct"/>
            <w:tcBorders>
              <w:top w:val="single" w:color="auto" w:sz="4" w:space="0"/>
              <w:left w:val="nil"/>
              <w:bottom w:val="single" w:color="auto" w:sz="4" w:space="0"/>
              <w:right w:val="single" w:color="auto" w:sz="4" w:space="0"/>
            </w:tcBorders>
            <w:shd w:val="clear" w:color="auto" w:fill="auto"/>
            <w:vAlign w:val="center"/>
          </w:tcPr>
          <w:p w14:paraId="2E97C89E">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见投标文件</w:t>
            </w:r>
          </w:p>
          <w:p w14:paraId="5C33CB2C">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第（）页</w:t>
            </w:r>
          </w:p>
        </w:tc>
      </w:tr>
      <w:tr w14:paraId="53E3D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907" w:hRule="atLeast"/>
          <w:jc w:val="center"/>
        </w:trPr>
        <w:tc>
          <w:tcPr>
            <w:tcW w:w="370" w:type="pct"/>
            <w:tcBorders>
              <w:top w:val="single" w:color="auto" w:sz="4" w:space="0"/>
              <w:left w:val="single" w:color="auto" w:sz="4" w:space="0"/>
              <w:bottom w:val="single" w:color="auto" w:sz="4" w:space="0"/>
              <w:right w:val="single" w:color="auto" w:sz="4" w:space="0"/>
            </w:tcBorders>
            <w:shd w:val="clear" w:color="auto" w:fill="auto"/>
            <w:vAlign w:val="center"/>
          </w:tcPr>
          <w:p w14:paraId="112E7BCA">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宋体" w:hAnsi="宋体" w:eastAsia="宋体" w:cs="宋体"/>
                <w:kern w:val="2"/>
                <w:sz w:val="24"/>
                <w:szCs w:val="24"/>
                <w:lang w:val="en-US" w:eastAsia="zh-CN" w:bidi="ar"/>
              </w:rPr>
              <w:t>5</w:t>
            </w:r>
          </w:p>
        </w:tc>
        <w:tc>
          <w:tcPr>
            <w:tcW w:w="2667" w:type="pct"/>
            <w:tcBorders>
              <w:top w:val="single" w:color="auto" w:sz="4" w:space="0"/>
              <w:left w:val="nil"/>
              <w:bottom w:val="single" w:color="auto" w:sz="4" w:space="0"/>
              <w:right w:val="single" w:color="auto" w:sz="4" w:space="0"/>
            </w:tcBorders>
            <w:shd w:val="clear" w:color="auto" w:fill="auto"/>
            <w:vAlign w:val="center"/>
          </w:tcPr>
          <w:p w14:paraId="5A0299FC">
            <w:pPr>
              <w:keepNext w:val="0"/>
              <w:keepLines w:val="0"/>
              <w:widowControl w:val="0"/>
              <w:suppressLineNumbers w:val="0"/>
              <w:spacing w:before="0" w:beforeAutospacing="0" w:after="0" w:afterAutospacing="0" w:line="360" w:lineRule="auto"/>
              <w:ind w:left="0" w:right="0"/>
              <w:jc w:val="both"/>
              <w:rPr>
                <w:rFonts w:hint="eastAsia" w:ascii="宋体" w:hAnsi="宋体" w:eastAsia="黑体" w:cs="宋体"/>
                <w:kern w:val="2"/>
                <w:sz w:val="24"/>
                <w:szCs w:val="24"/>
              </w:rPr>
            </w:pPr>
            <w:r>
              <w:rPr>
                <w:rFonts w:hint="eastAsia" w:ascii="黑体" w:hAnsi="宋体" w:eastAsia="黑体" w:cs="黑体"/>
                <w:kern w:val="2"/>
                <w:sz w:val="24"/>
                <w:szCs w:val="24"/>
                <w:lang w:val="en-US" w:eastAsia="zh-CN" w:bidi="ar"/>
              </w:rPr>
              <w:t>参加采购活动前</w:t>
            </w:r>
            <w:r>
              <w:rPr>
                <w:rFonts w:hint="eastAsia" w:ascii="宋体" w:hAnsi="宋体" w:eastAsia="宋体" w:cs="宋体"/>
                <w:kern w:val="2"/>
                <w:sz w:val="24"/>
                <w:szCs w:val="24"/>
                <w:lang w:val="en-US" w:eastAsia="zh-CN" w:bidi="ar"/>
              </w:rPr>
              <w:t>3</w:t>
            </w:r>
            <w:r>
              <w:rPr>
                <w:rFonts w:hint="eastAsia" w:ascii="黑体" w:hAnsi="宋体" w:eastAsia="黑体" w:cs="黑体"/>
                <w:kern w:val="2"/>
                <w:sz w:val="24"/>
                <w:szCs w:val="24"/>
                <w:lang w:val="en-US" w:eastAsia="zh-CN" w:bidi="ar"/>
              </w:rPr>
              <w:t>年内在经营活动中没有重大违法记录：提供《供应商资格承诺函》。</w:t>
            </w:r>
          </w:p>
        </w:tc>
        <w:tc>
          <w:tcPr>
            <w:tcW w:w="609" w:type="pct"/>
            <w:vMerge w:val="continue"/>
            <w:tcBorders>
              <w:top w:val="nil"/>
              <w:left w:val="nil"/>
              <w:bottom w:val="single" w:color="auto" w:sz="4" w:space="0"/>
              <w:right w:val="single" w:color="auto" w:sz="4" w:space="0"/>
            </w:tcBorders>
            <w:shd w:val="clear" w:color="auto" w:fill="auto"/>
            <w:vAlign w:val="center"/>
          </w:tcPr>
          <w:p w14:paraId="131BC9C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14" w:type="pct"/>
            <w:tcBorders>
              <w:top w:val="single" w:color="auto" w:sz="4" w:space="0"/>
              <w:left w:val="nil"/>
              <w:bottom w:val="single" w:color="auto" w:sz="4" w:space="0"/>
              <w:right w:val="single" w:color="auto" w:sz="4" w:space="0"/>
            </w:tcBorders>
            <w:shd w:val="clear" w:color="auto" w:fill="auto"/>
            <w:vAlign w:val="center"/>
          </w:tcPr>
          <w:p w14:paraId="73D9F67F">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通过；</w:t>
            </w:r>
          </w:p>
          <w:p w14:paraId="27281CC3">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不通过</w:t>
            </w:r>
          </w:p>
        </w:tc>
        <w:tc>
          <w:tcPr>
            <w:tcW w:w="738" w:type="pct"/>
            <w:tcBorders>
              <w:top w:val="single" w:color="auto" w:sz="4" w:space="0"/>
              <w:left w:val="nil"/>
              <w:bottom w:val="single" w:color="auto" w:sz="4" w:space="0"/>
              <w:right w:val="single" w:color="auto" w:sz="4" w:space="0"/>
            </w:tcBorders>
            <w:shd w:val="clear" w:color="auto" w:fill="auto"/>
            <w:vAlign w:val="center"/>
          </w:tcPr>
          <w:p w14:paraId="78B161B9">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见投标文件</w:t>
            </w:r>
          </w:p>
          <w:p w14:paraId="7E1F8DBB">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第（）页</w:t>
            </w:r>
          </w:p>
        </w:tc>
      </w:tr>
      <w:tr w14:paraId="33AF0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454" w:hRule="atLeast"/>
          <w:jc w:val="center"/>
        </w:trPr>
        <w:tc>
          <w:tcPr>
            <w:tcW w:w="370" w:type="pct"/>
            <w:tcBorders>
              <w:top w:val="single" w:color="auto" w:sz="4" w:space="0"/>
              <w:left w:val="single" w:color="auto" w:sz="4" w:space="0"/>
              <w:bottom w:val="single" w:color="auto" w:sz="4" w:space="0"/>
              <w:right w:val="single" w:color="auto" w:sz="4" w:space="0"/>
            </w:tcBorders>
            <w:shd w:val="clear" w:color="auto" w:fill="auto"/>
            <w:vAlign w:val="center"/>
          </w:tcPr>
          <w:p w14:paraId="46AA6516">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6</w:t>
            </w:r>
          </w:p>
        </w:tc>
        <w:tc>
          <w:tcPr>
            <w:tcW w:w="2667" w:type="pct"/>
            <w:tcBorders>
              <w:top w:val="single" w:color="auto" w:sz="4" w:space="0"/>
              <w:left w:val="nil"/>
              <w:bottom w:val="single" w:color="auto" w:sz="4" w:space="0"/>
              <w:right w:val="single" w:color="auto" w:sz="4" w:space="0"/>
            </w:tcBorders>
            <w:shd w:val="clear" w:color="auto" w:fill="auto"/>
            <w:vAlign w:val="center"/>
          </w:tcPr>
          <w:p w14:paraId="085EED79">
            <w:pPr>
              <w:pStyle w:val="11"/>
              <w:keepNext w:val="0"/>
              <w:keepLines w:val="0"/>
              <w:widowControl w:val="0"/>
              <w:suppressLineNumbers w:val="0"/>
              <w:spacing w:before="178" w:beforeAutospacing="0" w:after="0" w:afterAutospacing="0" w:line="360" w:lineRule="auto"/>
              <w:ind w:left="0" w:right="0"/>
              <w:jc w:val="left"/>
              <w:rPr>
                <w:rFonts w:hint="eastAsia" w:ascii="宋体" w:hAnsi="宋体" w:eastAsia="黑体" w:cs="宋体"/>
                <w:kern w:val="0"/>
                <w:sz w:val="24"/>
                <w:szCs w:val="24"/>
              </w:rPr>
            </w:pPr>
            <w:r>
              <w:rPr>
                <w:rFonts w:hint="eastAsia" w:ascii="黑体" w:hAnsi="宋体" w:eastAsia="黑体" w:cs="黑体"/>
                <w:kern w:val="0"/>
                <w:sz w:val="24"/>
                <w:szCs w:val="24"/>
                <w:lang w:val="en-US" w:eastAsia="zh-CN" w:bidi="ar"/>
              </w:rPr>
              <w:t>供应商未被列入</w:t>
            </w:r>
            <w:r>
              <w:rPr>
                <w:rFonts w:hint="eastAsia" w:ascii="宋体" w:hAnsi="宋体" w:eastAsia="宋体" w:cs="宋体"/>
                <w:kern w:val="0"/>
                <w:sz w:val="24"/>
                <w:szCs w:val="24"/>
                <w:lang w:val="en-US" w:eastAsia="zh-CN" w:bidi="ar"/>
              </w:rPr>
              <w:t>“</w:t>
            </w:r>
            <w:r>
              <w:rPr>
                <w:rFonts w:hint="eastAsia" w:ascii="黑体" w:hAnsi="宋体" w:eastAsia="黑体" w:cs="黑体"/>
                <w:kern w:val="0"/>
                <w:sz w:val="24"/>
                <w:szCs w:val="24"/>
                <w:lang w:val="en-US" w:eastAsia="zh-CN" w:bidi="ar"/>
              </w:rPr>
              <w:t>信用中国</w:t>
            </w:r>
            <w:r>
              <w:rPr>
                <w:rFonts w:hint="eastAsia" w:ascii="宋体" w:hAnsi="宋体" w:eastAsia="宋体" w:cs="宋体"/>
                <w:kern w:val="0"/>
                <w:sz w:val="24"/>
                <w:szCs w:val="24"/>
                <w:lang w:val="en-US" w:eastAsia="zh-CN" w:bidi="ar"/>
              </w:rPr>
              <w:t>”</w:t>
            </w:r>
            <w:r>
              <w:rPr>
                <w:rFonts w:hint="eastAsia" w:ascii="黑体" w:hAnsi="宋体" w:eastAsia="黑体" w:cs="黑体"/>
                <w:kern w:val="0"/>
                <w:sz w:val="24"/>
                <w:szCs w:val="24"/>
                <w:lang w:val="en-US" w:eastAsia="zh-CN" w:bidi="ar"/>
              </w:rPr>
              <w:t>网站</w:t>
            </w:r>
            <w:r>
              <w:rPr>
                <w:rFonts w:hint="eastAsia" w:ascii="宋体" w:hAnsi="宋体" w:eastAsia="宋体" w:cs="宋体"/>
                <w:kern w:val="0"/>
                <w:sz w:val="24"/>
                <w:szCs w:val="24"/>
                <w:lang w:val="en-US" w:eastAsia="zh-CN" w:bidi="ar"/>
              </w:rPr>
              <w:t>(www.creditchina.gov.cn)“</w:t>
            </w:r>
            <w:r>
              <w:rPr>
                <w:rFonts w:hint="eastAsia" w:ascii="黑体" w:hAnsi="宋体" w:eastAsia="黑体" w:cs="黑体"/>
                <w:kern w:val="0"/>
                <w:sz w:val="24"/>
                <w:szCs w:val="24"/>
                <w:lang w:val="en-US" w:eastAsia="zh-CN" w:bidi="ar"/>
              </w:rPr>
              <w:t>记录失信被执行人或重大税收违法失信主体或政府采购严重违法失信行为记录名单</w:t>
            </w:r>
            <w:r>
              <w:rPr>
                <w:rFonts w:hint="eastAsia" w:ascii="宋体" w:hAnsi="宋体" w:eastAsia="宋体" w:cs="宋体"/>
                <w:kern w:val="0"/>
                <w:sz w:val="24"/>
                <w:szCs w:val="24"/>
                <w:lang w:val="en-US" w:eastAsia="zh-CN" w:bidi="ar"/>
              </w:rPr>
              <w:t>”</w:t>
            </w:r>
            <w:r>
              <w:rPr>
                <w:rFonts w:hint="eastAsia" w:ascii="黑体" w:hAnsi="宋体" w:eastAsia="黑体" w:cs="黑体"/>
                <w:kern w:val="0"/>
                <w:sz w:val="24"/>
                <w:szCs w:val="24"/>
                <w:lang w:val="en-US" w:eastAsia="zh-CN" w:bidi="ar"/>
              </w:rPr>
              <w:t>；不处于中国政府采购网</w:t>
            </w:r>
            <w:r>
              <w:rPr>
                <w:rFonts w:hint="eastAsia" w:ascii="宋体" w:hAnsi="宋体" w:eastAsia="宋体" w:cs="宋体"/>
                <w:kern w:val="0"/>
                <w:sz w:val="24"/>
                <w:szCs w:val="24"/>
                <w:lang w:val="en-US" w:eastAsia="zh-CN" w:bidi="ar"/>
              </w:rPr>
              <w:t>(www.ccgp.gov.cn)“</w:t>
            </w:r>
            <w:r>
              <w:rPr>
                <w:rFonts w:hint="eastAsia" w:ascii="黑体" w:hAnsi="宋体" w:eastAsia="黑体" w:cs="黑体"/>
                <w:kern w:val="0"/>
                <w:sz w:val="24"/>
                <w:szCs w:val="24"/>
                <w:lang w:val="en-US" w:eastAsia="zh-CN" w:bidi="ar"/>
              </w:rPr>
              <w:t>政府采购严重违法失信行为记录名单</w:t>
            </w:r>
            <w:r>
              <w:rPr>
                <w:rFonts w:hint="eastAsia" w:ascii="宋体" w:hAnsi="宋体" w:eastAsia="宋体" w:cs="宋体"/>
                <w:kern w:val="0"/>
                <w:sz w:val="24"/>
                <w:szCs w:val="24"/>
                <w:lang w:val="en-US" w:eastAsia="zh-CN" w:bidi="ar"/>
              </w:rPr>
              <w:t>”</w:t>
            </w:r>
            <w:r>
              <w:rPr>
                <w:rFonts w:hint="eastAsia" w:ascii="黑体" w:hAnsi="宋体" w:eastAsia="黑体" w:cs="黑体"/>
                <w:kern w:val="0"/>
                <w:sz w:val="24"/>
                <w:szCs w:val="24"/>
                <w:lang w:val="en-US" w:eastAsia="zh-CN" w:bidi="ar"/>
              </w:rPr>
              <w:t>中的禁止参加政府采购活动期间。（以代理机构人员于响应截止时间当天在</w:t>
            </w:r>
            <w:r>
              <w:rPr>
                <w:rFonts w:hint="eastAsia" w:ascii="宋体" w:hAnsi="宋体" w:eastAsia="宋体" w:cs="宋体"/>
                <w:kern w:val="0"/>
                <w:sz w:val="24"/>
                <w:szCs w:val="24"/>
                <w:lang w:val="en-US" w:eastAsia="zh-CN" w:bidi="ar"/>
              </w:rPr>
              <w:t>“</w:t>
            </w:r>
            <w:r>
              <w:rPr>
                <w:rFonts w:hint="eastAsia" w:ascii="黑体" w:hAnsi="宋体" w:eastAsia="黑体" w:cs="黑体"/>
                <w:kern w:val="0"/>
                <w:sz w:val="24"/>
                <w:szCs w:val="24"/>
                <w:lang w:val="en-US" w:eastAsia="zh-CN" w:bidi="ar"/>
              </w:rPr>
              <w:t>信用中国</w:t>
            </w:r>
            <w:r>
              <w:rPr>
                <w:rFonts w:hint="eastAsia" w:ascii="宋体" w:hAnsi="宋体" w:eastAsia="宋体" w:cs="宋体"/>
                <w:kern w:val="0"/>
                <w:sz w:val="24"/>
                <w:szCs w:val="24"/>
                <w:lang w:val="en-US" w:eastAsia="zh-CN" w:bidi="ar"/>
              </w:rPr>
              <w:t>”</w:t>
            </w:r>
            <w:r>
              <w:rPr>
                <w:rFonts w:hint="eastAsia" w:ascii="黑体" w:hAnsi="宋体" w:eastAsia="黑体" w:cs="黑体"/>
                <w:kern w:val="0"/>
                <w:sz w:val="24"/>
                <w:szCs w:val="24"/>
                <w:lang w:val="en-US" w:eastAsia="zh-CN" w:bidi="ar"/>
              </w:rPr>
              <w:t>网站（</w:t>
            </w:r>
            <w:r>
              <w:rPr>
                <w:rFonts w:hint="eastAsia" w:ascii="宋体" w:hAnsi="宋体" w:eastAsia="宋体" w:cs="宋体"/>
                <w:kern w:val="0"/>
                <w:sz w:val="24"/>
                <w:szCs w:val="24"/>
                <w:lang w:val="en-US" w:eastAsia="zh-CN" w:bidi="ar"/>
              </w:rPr>
              <w:t>www.creditchina.gov.cn</w:t>
            </w:r>
            <w:r>
              <w:rPr>
                <w:rFonts w:hint="eastAsia" w:ascii="黑体" w:hAnsi="宋体" w:eastAsia="黑体" w:cs="黑体"/>
                <w:kern w:val="0"/>
                <w:sz w:val="24"/>
                <w:szCs w:val="24"/>
                <w:lang w:val="en-US" w:eastAsia="zh-CN" w:bidi="ar"/>
              </w:rPr>
              <w:t>）及中国政府采购网（</w:t>
            </w:r>
            <w:r>
              <w:rPr>
                <w:rFonts w:hint="eastAsia" w:ascii="宋体" w:hAnsi="宋体" w:eastAsia="宋体" w:cs="宋体"/>
                <w:kern w:val="0"/>
                <w:sz w:val="24"/>
                <w:szCs w:val="24"/>
                <w:lang w:val="en-US" w:eastAsia="zh-CN" w:bidi="ar"/>
              </w:rPr>
              <w:t>http://www.ccgp.gov.cn/</w:t>
            </w:r>
            <w:r>
              <w:rPr>
                <w:rFonts w:hint="eastAsia" w:ascii="黑体" w:hAnsi="宋体" w:eastAsia="黑体" w:cs="黑体"/>
                <w:kern w:val="0"/>
                <w:sz w:val="24"/>
                <w:szCs w:val="24"/>
                <w:lang w:val="en-US" w:eastAsia="zh-CN" w:bidi="ar"/>
              </w:rPr>
              <w:t>）查询结果为准，如相关失信记录已失效，供应商需提供相关证明资料）。</w:t>
            </w:r>
          </w:p>
        </w:tc>
        <w:tc>
          <w:tcPr>
            <w:tcW w:w="609" w:type="pct"/>
            <w:vMerge w:val="continue"/>
            <w:tcBorders>
              <w:top w:val="nil"/>
              <w:left w:val="nil"/>
              <w:bottom w:val="single" w:color="auto" w:sz="4" w:space="0"/>
              <w:right w:val="single" w:color="auto" w:sz="4" w:space="0"/>
            </w:tcBorders>
            <w:shd w:val="clear" w:color="auto" w:fill="auto"/>
            <w:vAlign w:val="center"/>
          </w:tcPr>
          <w:p w14:paraId="74703DC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14" w:type="pct"/>
            <w:tcBorders>
              <w:top w:val="single" w:color="auto" w:sz="4" w:space="0"/>
              <w:left w:val="nil"/>
              <w:bottom w:val="single" w:color="auto" w:sz="4" w:space="0"/>
              <w:right w:val="single" w:color="auto" w:sz="4" w:space="0"/>
            </w:tcBorders>
            <w:shd w:val="clear" w:color="auto" w:fill="auto"/>
            <w:vAlign w:val="center"/>
          </w:tcPr>
          <w:p w14:paraId="5BDFE648">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通过；</w:t>
            </w:r>
          </w:p>
          <w:p w14:paraId="1168434C">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不通过</w:t>
            </w:r>
          </w:p>
        </w:tc>
        <w:tc>
          <w:tcPr>
            <w:tcW w:w="738" w:type="pct"/>
            <w:tcBorders>
              <w:top w:val="single" w:color="auto" w:sz="4" w:space="0"/>
              <w:left w:val="nil"/>
              <w:bottom w:val="single" w:color="auto" w:sz="4" w:space="0"/>
              <w:right w:val="single" w:color="auto" w:sz="4" w:space="0"/>
            </w:tcBorders>
            <w:shd w:val="clear" w:color="auto" w:fill="auto"/>
            <w:vAlign w:val="center"/>
          </w:tcPr>
          <w:p w14:paraId="6513448A">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见投标文件</w:t>
            </w:r>
          </w:p>
          <w:p w14:paraId="71170CF9">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第（）页</w:t>
            </w:r>
          </w:p>
        </w:tc>
      </w:tr>
      <w:tr w14:paraId="70FB4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454" w:hRule="atLeast"/>
          <w:jc w:val="center"/>
        </w:trPr>
        <w:tc>
          <w:tcPr>
            <w:tcW w:w="370" w:type="pct"/>
            <w:tcBorders>
              <w:top w:val="single" w:color="auto" w:sz="4" w:space="0"/>
              <w:left w:val="single" w:color="auto" w:sz="4" w:space="0"/>
              <w:bottom w:val="single" w:color="auto" w:sz="4" w:space="0"/>
              <w:right w:val="single" w:color="auto" w:sz="4" w:space="0"/>
            </w:tcBorders>
            <w:shd w:val="clear" w:color="auto" w:fill="auto"/>
            <w:vAlign w:val="center"/>
          </w:tcPr>
          <w:p w14:paraId="3FF5E13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7</w:t>
            </w:r>
          </w:p>
        </w:tc>
        <w:tc>
          <w:tcPr>
            <w:tcW w:w="2667" w:type="pct"/>
            <w:tcBorders>
              <w:top w:val="single" w:color="auto" w:sz="4" w:space="0"/>
              <w:left w:val="nil"/>
              <w:bottom w:val="single" w:color="auto" w:sz="4" w:space="0"/>
              <w:right w:val="single" w:color="auto" w:sz="4" w:space="0"/>
            </w:tcBorders>
            <w:shd w:val="clear" w:color="auto" w:fill="auto"/>
            <w:vAlign w:val="center"/>
          </w:tcPr>
          <w:p w14:paraId="640F7799">
            <w:pPr>
              <w:pStyle w:val="11"/>
              <w:keepNext w:val="0"/>
              <w:keepLines w:val="0"/>
              <w:widowControl w:val="0"/>
              <w:suppressLineNumbers w:val="0"/>
              <w:spacing w:before="178" w:beforeAutospacing="0" w:after="0" w:afterAutospacing="0" w:line="360" w:lineRule="auto"/>
              <w:ind w:left="0" w:right="0"/>
              <w:jc w:val="left"/>
              <w:rPr>
                <w:rFonts w:hint="eastAsia" w:ascii="宋体" w:hAnsi="宋体" w:eastAsia="黑体" w:cs="宋体"/>
                <w:kern w:val="0"/>
                <w:sz w:val="24"/>
                <w:szCs w:val="24"/>
              </w:rPr>
            </w:pPr>
            <w:r>
              <w:rPr>
                <w:rFonts w:hint="eastAsia" w:ascii="黑体" w:hAnsi="宋体" w:eastAsia="黑体" w:cs="黑体"/>
                <w:kern w:val="0"/>
                <w:sz w:val="24"/>
                <w:szCs w:val="24"/>
                <w:lang w:val="en-US" w:eastAsia="zh-CN" w:bidi="ar"/>
              </w:rPr>
              <w:t>单位负责人为同一人或者存在直接控股、管理关系的不同供应商，不得同时参加本采购项目同一合同项下的投标。为本项目提供整体设计、规范编制或者项目管理、监理、检测等服务的供应商，不得再参与本项目投标。</w:t>
            </w:r>
          </w:p>
        </w:tc>
        <w:tc>
          <w:tcPr>
            <w:tcW w:w="609" w:type="pct"/>
            <w:vMerge w:val="continue"/>
            <w:tcBorders>
              <w:top w:val="nil"/>
              <w:left w:val="nil"/>
              <w:bottom w:val="single" w:color="auto" w:sz="4" w:space="0"/>
              <w:right w:val="single" w:color="auto" w:sz="4" w:space="0"/>
            </w:tcBorders>
            <w:shd w:val="clear" w:color="auto" w:fill="auto"/>
            <w:vAlign w:val="center"/>
          </w:tcPr>
          <w:p w14:paraId="696F8D7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14" w:type="pct"/>
            <w:tcBorders>
              <w:top w:val="single" w:color="auto" w:sz="4" w:space="0"/>
              <w:left w:val="nil"/>
              <w:bottom w:val="single" w:color="auto" w:sz="4" w:space="0"/>
              <w:right w:val="single" w:color="auto" w:sz="4" w:space="0"/>
            </w:tcBorders>
            <w:shd w:val="clear" w:color="auto" w:fill="auto"/>
            <w:vAlign w:val="center"/>
          </w:tcPr>
          <w:p w14:paraId="35ABB00D">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通过；</w:t>
            </w:r>
          </w:p>
          <w:p w14:paraId="618DD056">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不通过</w:t>
            </w:r>
          </w:p>
        </w:tc>
        <w:tc>
          <w:tcPr>
            <w:tcW w:w="738" w:type="pct"/>
            <w:tcBorders>
              <w:top w:val="single" w:color="auto" w:sz="4" w:space="0"/>
              <w:left w:val="nil"/>
              <w:bottom w:val="single" w:color="auto" w:sz="4" w:space="0"/>
              <w:right w:val="single" w:color="auto" w:sz="4" w:space="0"/>
            </w:tcBorders>
            <w:shd w:val="clear" w:color="auto" w:fill="auto"/>
            <w:vAlign w:val="center"/>
          </w:tcPr>
          <w:p w14:paraId="7B3638C8">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见投标文件</w:t>
            </w:r>
          </w:p>
          <w:p w14:paraId="03EBE76A">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第（）页</w:t>
            </w:r>
          </w:p>
        </w:tc>
      </w:tr>
      <w:tr w14:paraId="68576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454" w:hRule="atLeast"/>
          <w:jc w:val="center"/>
        </w:trPr>
        <w:tc>
          <w:tcPr>
            <w:tcW w:w="370" w:type="pct"/>
            <w:tcBorders>
              <w:top w:val="single" w:color="auto" w:sz="4" w:space="0"/>
              <w:left w:val="single" w:color="auto" w:sz="4" w:space="0"/>
              <w:bottom w:val="single" w:color="auto" w:sz="4" w:space="0"/>
              <w:right w:val="single" w:color="auto" w:sz="4" w:space="0"/>
            </w:tcBorders>
            <w:shd w:val="clear" w:color="auto" w:fill="auto"/>
            <w:vAlign w:val="center"/>
          </w:tcPr>
          <w:p w14:paraId="4F8693D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8</w:t>
            </w:r>
          </w:p>
        </w:tc>
        <w:tc>
          <w:tcPr>
            <w:tcW w:w="2667" w:type="pct"/>
            <w:tcBorders>
              <w:top w:val="single" w:color="auto" w:sz="4" w:space="0"/>
              <w:left w:val="nil"/>
              <w:bottom w:val="single" w:color="auto" w:sz="4" w:space="0"/>
              <w:right w:val="single" w:color="auto" w:sz="4" w:space="0"/>
            </w:tcBorders>
            <w:shd w:val="clear" w:color="auto" w:fill="auto"/>
            <w:vAlign w:val="center"/>
          </w:tcPr>
          <w:p w14:paraId="70A32D19">
            <w:pPr>
              <w:pStyle w:val="11"/>
              <w:keepNext w:val="0"/>
              <w:keepLines w:val="0"/>
              <w:widowControl w:val="0"/>
              <w:suppressLineNumbers w:val="0"/>
              <w:spacing w:before="178" w:beforeAutospacing="0" w:after="0" w:afterAutospacing="0" w:line="360" w:lineRule="auto"/>
              <w:ind w:left="0" w:right="0"/>
              <w:jc w:val="left"/>
              <w:rPr>
                <w:rFonts w:hint="eastAsia" w:ascii="宋体" w:hAnsi="宋体" w:eastAsia="黑体" w:cs="宋体"/>
                <w:kern w:val="0"/>
                <w:sz w:val="24"/>
                <w:szCs w:val="24"/>
              </w:rPr>
            </w:pPr>
            <w:r>
              <w:rPr>
                <w:rFonts w:hint="eastAsia" w:ascii="黑体" w:hAnsi="宋体" w:eastAsia="黑体" w:cs="黑体"/>
                <w:kern w:val="0"/>
                <w:sz w:val="24"/>
                <w:szCs w:val="24"/>
                <w:lang w:val="en-US" w:eastAsia="zh-CN" w:bidi="ar"/>
              </w:rPr>
              <w:t>本项目不接受联合体投标。</w:t>
            </w:r>
          </w:p>
        </w:tc>
        <w:tc>
          <w:tcPr>
            <w:tcW w:w="609" w:type="pct"/>
            <w:vMerge w:val="continue"/>
            <w:tcBorders>
              <w:top w:val="nil"/>
              <w:left w:val="nil"/>
              <w:bottom w:val="single" w:color="auto" w:sz="4" w:space="0"/>
              <w:right w:val="single" w:color="auto" w:sz="4" w:space="0"/>
            </w:tcBorders>
            <w:shd w:val="clear" w:color="auto" w:fill="auto"/>
            <w:vAlign w:val="center"/>
          </w:tcPr>
          <w:p w14:paraId="67B3B83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14" w:type="pct"/>
            <w:tcBorders>
              <w:top w:val="single" w:color="auto" w:sz="4" w:space="0"/>
              <w:left w:val="nil"/>
              <w:bottom w:val="single" w:color="auto" w:sz="4" w:space="0"/>
              <w:right w:val="single" w:color="auto" w:sz="4" w:space="0"/>
            </w:tcBorders>
            <w:shd w:val="clear" w:color="auto" w:fill="auto"/>
            <w:vAlign w:val="center"/>
          </w:tcPr>
          <w:p w14:paraId="59F4D984">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通过；</w:t>
            </w:r>
          </w:p>
          <w:p w14:paraId="350598EA">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不通过</w:t>
            </w:r>
          </w:p>
        </w:tc>
        <w:tc>
          <w:tcPr>
            <w:tcW w:w="738" w:type="pct"/>
            <w:tcBorders>
              <w:top w:val="single" w:color="auto" w:sz="4" w:space="0"/>
              <w:left w:val="nil"/>
              <w:bottom w:val="single" w:color="auto" w:sz="4" w:space="0"/>
              <w:right w:val="single" w:color="auto" w:sz="4" w:space="0"/>
            </w:tcBorders>
            <w:shd w:val="clear" w:color="auto" w:fill="auto"/>
            <w:vAlign w:val="center"/>
          </w:tcPr>
          <w:p w14:paraId="0088AA9F">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见投标文件</w:t>
            </w:r>
          </w:p>
          <w:p w14:paraId="6311791A">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第（）页</w:t>
            </w:r>
          </w:p>
        </w:tc>
      </w:tr>
      <w:tr w14:paraId="15888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454" w:hRule="atLeast"/>
          <w:jc w:val="center"/>
        </w:trPr>
        <w:tc>
          <w:tcPr>
            <w:tcW w:w="370" w:type="pct"/>
            <w:tcBorders>
              <w:top w:val="single" w:color="auto" w:sz="4" w:space="0"/>
              <w:left w:val="single" w:color="auto" w:sz="4" w:space="0"/>
              <w:bottom w:val="single" w:color="auto" w:sz="4" w:space="0"/>
              <w:right w:val="single" w:color="auto" w:sz="4" w:space="0"/>
            </w:tcBorders>
            <w:shd w:val="clear" w:color="auto" w:fill="auto"/>
            <w:vAlign w:val="center"/>
          </w:tcPr>
          <w:p w14:paraId="3940B4D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9</w:t>
            </w:r>
          </w:p>
        </w:tc>
        <w:tc>
          <w:tcPr>
            <w:tcW w:w="2667" w:type="pct"/>
            <w:tcBorders>
              <w:top w:val="single" w:color="auto" w:sz="4" w:space="0"/>
              <w:left w:val="nil"/>
              <w:bottom w:val="single" w:color="auto" w:sz="4" w:space="0"/>
              <w:right w:val="single" w:color="auto" w:sz="4" w:space="0"/>
            </w:tcBorders>
            <w:shd w:val="clear" w:color="auto" w:fill="auto"/>
            <w:vAlign w:val="center"/>
          </w:tcPr>
          <w:p w14:paraId="713B23B4">
            <w:pPr>
              <w:pStyle w:val="11"/>
              <w:keepNext w:val="0"/>
              <w:keepLines w:val="0"/>
              <w:widowControl w:val="0"/>
              <w:suppressLineNumbers w:val="0"/>
              <w:spacing w:before="178" w:beforeAutospacing="0" w:after="0" w:afterAutospacing="0" w:line="360" w:lineRule="auto"/>
              <w:ind w:left="0" w:right="0"/>
              <w:jc w:val="left"/>
              <w:rPr>
                <w:rFonts w:hint="eastAsia" w:ascii="宋体" w:hAnsi="宋体" w:eastAsia="黑体" w:cs="宋体"/>
                <w:kern w:val="0"/>
                <w:sz w:val="24"/>
                <w:szCs w:val="24"/>
              </w:rPr>
            </w:pPr>
            <w:r>
              <w:rPr>
                <w:rFonts w:hint="eastAsia" w:ascii="黑体" w:hAnsi="宋体" w:eastAsia="黑体" w:cs="黑体"/>
                <w:kern w:val="0"/>
                <w:sz w:val="24"/>
                <w:szCs w:val="24"/>
                <w:lang w:val="en-US" w:eastAsia="zh-CN" w:bidi="ar"/>
              </w:rPr>
              <w:t>已获取本项目招标文件。</w:t>
            </w:r>
          </w:p>
        </w:tc>
        <w:tc>
          <w:tcPr>
            <w:tcW w:w="609" w:type="pct"/>
            <w:vMerge w:val="continue"/>
            <w:tcBorders>
              <w:top w:val="nil"/>
              <w:left w:val="nil"/>
              <w:bottom w:val="nil"/>
              <w:right w:val="single" w:color="auto" w:sz="4" w:space="0"/>
            </w:tcBorders>
            <w:shd w:val="clear" w:color="auto" w:fill="auto"/>
            <w:vAlign w:val="center"/>
          </w:tcPr>
          <w:p w14:paraId="5A345E3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14" w:type="pct"/>
            <w:tcBorders>
              <w:top w:val="single" w:color="auto" w:sz="4" w:space="0"/>
              <w:left w:val="nil"/>
              <w:bottom w:val="single" w:color="auto" w:sz="4" w:space="0"/>
              <w:right w:val="single" w:color="auto" w:sz="4" w:space="0"/>
            </w:tcBorders>
            <w:shd w:val="clear" w:color="auto" w:fill="auto"/>
            <w:vAlign w:val="center"/>
          </w:tcPr>
          <w:p w14:paraId="08FB8442">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通过；</w:t>
            </w:r>
          </w:p>
          <w:p w14:paraId="742260F7">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不通过</w:t>
            </w:r>
          </w:p>
        </w:tc>
        <w:tc>
          <w:tcPr>
            <w:tcW w:w="738" w:type="pct"/>
            <w:tcBorders>
              <w:top w:val="single" w:color="auto" w:sz="4" w:space="0"/>
              <w:left w:val="nil"/>
              <w:bottom w:val="single" w:color="auto" w:sz="4" w:space="0"/>
              <w:right w:val="single" w:color="auto" w:sz="4" w:space="0"/>
            </w:tcBorders>
            <w:shd w:val="clear" w:color="auto" w:fill="auto"/>
            <w:vAlign w:val="center"/>
          </w:tcPr>
          <w:p w14:paraId="60D347C0">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见投标文件</w:t>
            </w:r>
          </w:p>
          <w:p w14:paraId="22EE8C89">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第（）页</w:t>
            </w:r>
          </w:p>
        </w:tc>
      </w:tr>
      <w:tr w14:paraId="35D61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454" w:hRule="atLeast"/>
          <w:jc w:val="center"/>
        </w:trPr>
        <w:tc>
          <w:tcPr>
            <w:tcW w:w="370" w:type="pct"/>
            <w:tcBorders>
              <w:top w:val="single" w:color="auto" w:sz="4" w:space="0"/>
              <w:left w:val="single" w:color="auto" w:sz="4" w:space="0"/>
              <w:bottom w:val="single" w:color="auto" w:sz="4" w:space="0"/>
              <w:right w:val="single" w:color="auto" w:sz="4" w:space="0"/>
            </w:tcBorders>
            <w:shd w:val="clear" w:color="auto" w:fill="auto"/>
            <w:vAlign w:val="center"/>
          </w:tcPr>
          <w:p w14:paraId="703B93A8">
            <w:pPr>
              <w:keepNext w:val="0"/>
              <w:keepLines w:val="0"/>
              <w:widowControl w:val="0"/>
              <w:suppressLineNumbers w:val="0"/>
              <w:spacing w:before="0" w:beforeAutospacing="0" w:after="0" w:afterAutospacing="0" w:line="360" w:lineRule="auto"/>
              <w:ind w:left="0" w:right="0"/>
              <w:jc w:val="center"/>
              <w:rPr>
                <w:rFonts w:hint="default"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10</w:t>
            </w:r>
          </w:p>
        </w:tc>
        <w:tc>
          <w:tcPr>
            <w:tcW w:w="2667" w:type="pct"/>
            <w:tcBorders>
              <w:top w:val="single" w:color="auto" w:sz="4" w:space="0"/>
              <w:left w:val="nil"/>
              <w:bottom w:val="single" w:color="auto" w:sz="4" w:space="0"/>
              <w:right w:val="single" w:color="auto" w:sz="4" w:space="0"/>
            </w:tcBorders>
            <w:shd w:val="clear" w:color="auto" w:fill="auto"/>
            <w:vAlign w:val="center"/>
          </w:tcPr>
          <w:p w14:paraId="1A6DC887">
            <w:pPr>
              <w:pStyle w:val="11"/>
              <w:keepNext w:val="0"/>
              <w:keepLines w:val="0"/>
              <w:widowControl w:val="0"/>
              <w:suppressLineNumbers w:val="0"/>
              <w:spacing w:before="178" w:beforeAutospacing="0" w:after="0" w:afterAutospacing="0" w:line="360" w:lineRule="auto"/>
              <w:ind w:left="0" w:right="0"/>
              <w:jc w:val="left"/>
              <w:rPr>
                <w:rFonts w:hint="eastAsia" w:ascii="黑体" w:hAnsi="宋体" w:eastAsia="黑体" w:cs="黑体"/>
                <w:kern w:val="0"/>
                <w:sz w:val="24"/>
                <w:szCs w:val="24"/>
                <w:lang w:val="en-US" w:eastAsia="zh-CN" w:bidi="ar"/>
              </w:rPr>
            </w:pPr>
            <w:r>
              <w:rPr>
                <w:rFonts w:hint="eastAsia" w:ascii="黑体" w:hAnsi="宋体" w:eastAsia="黑体" w:cs="黑体"/>
                <w:kern w:val="0"/>
                <w:sz w:val="24"/>
                <w:szCs w:val="24"/>
                <w:lang w:val="en-US" w:eastAsia="zh-CN" w:bidi="ar"/>
              </w:rPr>
              <w:t>具有消防设施工程专业承包壹级资质和消防设施工程设计专项乙级（或以上）资质；</w:t>
            </w:r>
          </w:p>
        </w:tc>
        <w:tc>
          <w:tcPr>
            <w:tcW w:w="609" w:type="pct"/>
            <w:tcBorders>
              <w:top w:val="nil"/>
              <w:left w:val="nil"/>
              <w:bottom w:val="nil"/>
              <w:right w:val="single" w:color="auto" w:sz="4" w:space="0"/>
            </w:tcBorders>
            <w:shd w:val="clear" w:color="auto" w:fill="auto"/>
            <w:vAlign w:val="center"/>
          </w:tcPr>
          <w:p w14:paraId="7F350D7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14" w:type="pct"/>
            <w:tcBorders>
              <w:top w:val="single" w:color="auto" w:sz="4" w:space="0"/>
              <w:left w:val="nil"/>
              <w:bottom w:val="single" w:color="auto" w:sz="4" w:space="0"/>
              <w:right w:val="single" w:color="auto" w:sz="4" w:space="0"/>
            </w:tcBorders>
            <w:shd w:val="clear" w:color="auto" w:fill="auto"/>
            <w:vAlign w:val="center"/>
          </w:tcPr>
          <w:p w14:paraId="423FD78D">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通过；</w:t>
            </w:r>
          </w:p>
          <w:p w14:paraId="34B4DB5A">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黑体" w:cs="黑体"/>
                <w:kern w:val="2"/>
                <w:sz w:val="24"/>
                <w:szCs w:val="24"/>
                <w:lang w:val="en-US" w:eastAsia="zh-CN" w:bidi="ar-SA"/>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不通过</w:t>
            </w:r>
          </w:p>
        </w:tc>
        <w:tc>
          <w:tcPr>
            <w:tcW w:w="738" w:type="pct"/>
            <w:tcBorders>
              <w:top w:val="single" w:color="auto" w:sz="4" w:space="0"/>
              <w:left w:val="nil"/>
              <w:bottom w:val="single" w:color="auto" w:sz="4" w:space="0"/>
              <w:right w:val="single" w:color="auto" w:sz="4" w:space="0"/>
            </w:tcBorders>
            <w:shd w:val="clear" w:color="auto" w:fill="auto"/>
            <w:vAlign w:val="center"/>
          </w:tcPr>
          <w:p w14:paraId="58E850A5">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见投标文件</w:t>
            </w:r>
          </w:p>
          <w:p w14:paraId="0A014A38">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黑体" w:cs="黑体"/>
                <w:kern w:val="2"/>
                <w:sz w:val="24"/>
                <w:szCs w:val="24"/>
                <w:lang w:val="en-US" w:eastAsia="zh-CN" w:bidi="ar-SA"/>
              </w:rPr>
            </w:pPr>
            <w:r>
              <w:rPr>
                <w:rFonts w:hint="eastAsia" w:ascii="黑体" w:hAnsi="宋体" w:eastAsia="黑体" w:cs="黑体"/>
                <w:kern w:val="2"/>
                <w:sz w:val="24"/>
                <w:szCs w:val="24"/>
                <w:lang w:val="en-US" w:eastAsia="zh-CN" w:bidi="ar"/>
              </w:rPr>
              <w:t>第（）页</w:t>
            </w:r>
          </w:p>
        </w:tc>
      </w:tr>
      <w:tr w14:paraId="5A703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454" w:hRule="atLeast"/>
          <w:jc w:val="center"/>
        </w:trPr>
        <w:tc>
          <w:tcPr>
            <w:tcW w:w="370" w:type="pct"/>
            <w:tcBorders>
              <w:top w:val="single" w:color="auto" w:sz="4" w:space="0"/>
              <w:left w:val="single" w:color="auto" w:sz="4" w:space="0"/>
              <w:bottom w:val="single" w:color="auto" w:sz="4" w:space="0"/>
              <w:right w:val="single" w:color="auto" w:sz="4" w:space="0"/>
            </w:tcBorders>
            <w:shd w:val="clear" w:color="auto" w:fill="auto"/>
            <w:vAlign w:val="center"/>
          </w:tcPr>
          <w:p w14:paraId="279D30DF">
            <w:pPr>
              <w:keepNext w:val="0"/>
              <w:keepLines w:val="0"/>
              <w:widowControl w:val="0"/>
              <w:suppressLineNumbers w:val="0"/>
              <w:spacing w:before="0" w:beforeAutospacing="0" w:after="0" w:afterAutospacing="0" w:line="360" w:lineRule="auto"/>
              <w:ind w:left="0" w:right="0"/>
              <w:jc w:val="center"/>
              <w:rPr>
                <w:rFonts w:hint="default"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11</w:t>
            </w:r>
          </w:p>
        </w:tc>
        <w:tc>
          <w:tcPr>
            <w:tcW w:w="2667" w:type="pct"/>
            <w:tcBorders>
              <w:top w:val="single" w:color="auto" w:sz="4" w:space="0"/>
              <w:left w:val="nil"/>
              <w:bottom w:val="single" w:color="auto" w:sz="4" w:space="0"/>
              <w:right w:val="single" w:color="auto" w:sz="4" w:space="0"/>
            </w:tcBorders>
            <w:shd w:val="clear" w:color="auto" w:fill="auto"/>
            <w:vAlign w:val="center"/>
          </w:tcPr>
          <w:p w14:paraId="729FCC76">
            <w:pPr>
              <w:pStyle w:val="11"/>
              <w:keepNext w:val="0"/>
              <w:keepLines w:val="0"/>
              <w:widowControl w:val="0"/>
              <w:suppressLineNumbers w:val="0"/>
              <w:spacing w:before="178" w:beforeAutospacing="0" w:after="0" w:afterAutospacing="0" w:line="360" w:lineRule="auto"/>
              <w:ind w:left="0" w:right="0"/>
              <w:jc w:val="left"/>
              <w:rPr>
                <w:rFonts w:hint="eastAsia" w:ascii="黑体" w:hAnsi="宋体" w:eastAsia="黑体" w:cs="黑体"/>
                <w:kern w:val="0"/>
                <w:sz w:val="24"/>
                <w:szCs w:val="24"/>
                <w:lang w:val="en-US" w:eastAsia="zh-CN" w:bidi="ar"/>
              </w:rPr>
            </w:pPr>
            <w:r>
              <w:rPr>
                <w:rFonts w:hint="eastAsia" w:ascii="Tahoma" w:hAnsi="Tahoma" w:eastAsia="Tahoma" w:cs="Tahoma"/>
                <w:kern w:val="0"/>
                <w:sz w:val="24"/>
                <w:szCs w:val="24"/>
                <w:lang w:val="en-US" w:eastAsia="zh" w:bidi="ar"/>
                <w:woUserID w:val="2"/>
              </w:rPr>
              <w:t>具备有效期内《安全生产许可证》。</w:t>
            </w:r>
          </w:p>
        </w:tc>
        <w:tc>
          <w:tcPr>
            <w:tcW w:w="609" w:type="pct"/>
            <w:tcBorders>
              <w:top w:val="nil"/>
              <w:left w:val="nil"/>
              <w:bottom w:val="single" w:color="auto" w:sz="4" w:space="0"/>
              <w:right w:val="single" w:color="auto" w:sz="4" w:space="0"/>
            </w:tcBorders>
            <w:shd w:val="clear" w:color="auto" w:fill="auto"/>
            <w:vAlign w:val="center"/>
          </w:tcPr>
          <w:p w14:paraId="5526432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14" w:type="pct"/>
            <w:tcBorders>
              <w:top w:val="single" w:color="auto" w:sz="4" w:space="0"/>
              <w:left w:val="nil"/>
              <w:bottom w:val="single" w:color="auto" w:sz="4" w:space="0"/>
              <w:right w:val="single" w:color="auto" w:sz="4" w:space="0"/>
            </w:tcBorders>
            <w:shd w:val="clear" w:color="auto" w:fill="auto"/>
            <w:vAlign w:val="center"/>
          </w:tcPr>
          <w:p w14:paraId="3EC0C3AE">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通过；</w:t>
            </w:r>
          </w:p>
          <w:p w14:paraId="5E95CD44">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黑体" w:cs="黑体"/>
                <w:kern w:val="2"/>
                <w:sz w:val="24"/>
                <w:szCs w:val="24"/>
                <w:lang w:val="en-US" w:eastAsia="zh-CN" w:bidi="ar-SA"/>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不通过</w:t>
            </w:r>
          </w:p>
        </w:tc>
        <w:tc>
          <w:tcPr>
            <w:tcW w:w="738" w:type="pct"/>
            <w:tcBorders>
              <w:top w:val="single" w:color="auto" w:sz="4" w:space="0"/>
              <w:left w:val="nil"/>
              <w:bottom w:val="single" w:color="auto" w:sz="4" w:space="0"/>
              <w:right w:val="single" w:color="auto" w:sz="4" w:space="0"/>
            </w:tcBorders>
            <w:shd w:val="clear" w:color="auto" w:fill="auto"/>
            <w:vAlign w:val="center"/>
          </w:tcPr>
          <w:p w14:paraId="7DD75B54">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见投标文件</w:t>
            </w:r>
          </w:p>
          <w:p w14:paraId="7686C8D0">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黑体" w:cs="黑体"/>
                <w:kern w:val="2"/>
                <w:sz w:val="24"/>
                <w:szCs w:val="24"/>
                <w:lang w:val="en-US" w:eastAsia="zh-CN" w:bidi="ar-SA"/>
              </w:rPr>
            </w:pPr>
            <w:r>
              <w:rPr>
                <w:rFonts w:hint="eastAsia" w:ascii="黑体" w:hAnsi="宋体" w:eastAsia="黑体" w:cs="黑体"/>
                <w:kern w:val="2"/>
                <w:sz w:val="24"/>
                <w:szCs w:val="24"/>
                <w:lang w:val="en-US" w:eastAsia="zh-CN" w:bidi="ar"/>
              </w:rPr>
              <w:t>第（）页</w:t>
            </w:r>
          </w:p>
        </w:tc>
      </w:tr>
    </w:tbl>
    <w:p w14:paraId="729D90E9">
      <w:pPr>
        <w:keepNext w:val="0"/>
        <w:keepLines w:val="0"/>
        <w:widowControl w:val="0"/>
        <w:suppressLineNumbers w:val="0"/>
        <w:spacing w:before="0" w:beforeAutospacing="0" w:after="0" w:afterAutospacing="0" w:line="360" w:lineRule="auto"/>
        <w:ind w:left="0" w:right="-235" w:rightChars="-112"/>
        <w:jc w:val="both"/>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注：以上材料将作为供应商有效性审核的重要内容之一，供应商必须严格按照其内容及序列要求在投标文件中对应如实提供，对资格性证明文件的任何缺漏和不符合项将会直接导致无效投标。供应商根据自查结论在对应的</w:t>
      </w: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打</w:t>
      </w: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w:t>
      </w:r>
    </w:p>
    <w:p w14:paraId="5E0A9772">
      <w:pPr>
        <w:pStyle w:val="2"/>
        <w:keepNext w:val="0"/>
        <w:keepLines w:val="0"/>
        <w:widowControl/>
        <w:suppressLineNumbers w:val="0"/>
        <w:spacing w:before="0" w:beforeAutospacing="0" w:after="0" w:afterAutospacing="0" w:line="360" w:lineRule="auto"/>
        <w:jc w:val="center"/>
        <w:outlineLvl w:val="2"/>
        <w:rPr>
          <w:rFonts w:hint="eastAsia" w:ascii="黑体" w:hAnsi="宋体" w:eastAsia="黑体" w:cs="黑体"/>
          <w:b w:val="0"/>
          <w:bCs w:val="0"/>
          <w:kern w:val="44"/>
          <w:sz w:val="32"/>
          <w:szCs w:val="32"/>
        </w:rPr>
      </w:pPr>
      <w:r>
        <w:rPr>
          <w:rFonts w:hint="eastAsia" w:ascii="黑体" w:hAnsi="宋体" w:eastAsia="黑体" w:cs="黑体"/>
          <w:b w:val="0"/>
          <w:bCs w:val="0"/>
          <w:kern w:val="44"/>
          <w:sz w:val="32"/>
          <w:szCs w:val="32"/>
        </w:rPr>
        <w:br w:type="page"/>
      </w:r>
      <w:r>
        <w:rPr>
          <w:rFonts w:hint="eastAsia" w:ascii="黑体" w:hAnsi="宋体" w:eastAsia="黑体" w:cs="黑体"/>
          <w:b w:val="0"/>
          <w:bCs w:val="0"/>
          <w:kern w:val="44"/>
          <w:sz w:val="32"/>
          <w:szCs w:val="32"/>
        </w:rPr>
        <w:t>二、符合性自查表</w:t>
      </w:r>
    </w:p>
    <w:tbl>
      <w:tblPr>
        <w:tblStyle w:val="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57" w:type="dxa"/>
          <w:bottom w:w="0" w:type="dxa"/>
          <w:right w:w="57" w:type="dxa"/>
        </w:tblCellMar>
      </w:tblPr>
      <w:tblGrid>
        <w:gridCol w:w="709"/>
        <w:gridCol w:w="2068"/>
        <w:gridCol w:w="3363"/>
        <w:gridCol w:w="1034"/>
        <w:gridCol w:w="1243"/>
      </w:tblGrid>
      <w:tr w14:paraId="11F42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732" w:hRule="atLeast"/>
          <w:jc w:val="center"/>
        </w:trPr>
        <w:tc>
          <w:tcPr>
            <w:tcW w:w="421" w:type="pct"/>
            <w:tcBorders>
              <w:top w:val="single" w:color="auto" w:sz="4" w:space="0"/>
              <w:left w:val="single" w:color="auto" w:sz="4" w:space="0"/>
              <w:bottom w:val="single" w:color="auto" w:sz="4" w:space="0"/>
              <w:right w:val="single" w:color="auto" w:sz="4" w:space="0"/>
            </w:tcBorders>
            <w:shd w:val="clear" w:color="auto" w:fill="D9D9D9"/>
            <w:vAlign w:val="center"/>
          </w:tcPr>
          <w:p w14:paraId="372EF90A">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黑体" w:hAnsi="宋体" w:eastAsia="黑体" w:cs="黑体"/>
                <w:b/>
                <w:bCs w:val="0"/>
                <w:kern w:val="2"/>
                <w:sz w:val="24"/>
                <w:szCs w:val="24"/>
                <w:lang w:val="en-US" w:eastAsia="zh-CN" w:bidi="ar"/>
              </w:rPr>
              <w:t>序号</w:t>
            </w:r>
          </w:p>
        </w:tc>
        <w:tc>
          <w:tcPr>
            <w:tcW w:w="1228" w:type="pct"/>
            <w:tcBorders>
              <w:top w:val="single" w:color="auto" w:sz="4" w:space="0"/>
              <w:left w:val="nil"/>
              <w:bottom w:val="single" w:color="auto" w:sz="4" w:space="0"/>
              <w:right w:val="single" w:color="auto" w:sz="4" w:space="0"/>
            </w:tcBorders>
            <w:shd w:val="clear" w:color="auto" w:fill="D9D9D9"/>
            <w:vAlign w:val="center"/>
          </w:tcPr>
          <w:p w14:paraId="1E726282">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b/>
                <w:bCs w:val="0"/>
                <w:kern w:val="2"/>
                <w:sz w:val="24"/>
                <w:szCs w:val="24"/>
              </w:rPr>
            </w:pPr>
            <w:r>
              <w:rPr>
                <w:rFonts w:hint="eastAsia" w:ascii="黑体" w:hAnsi="宋体" w:eastAsia="黑体" w:cs="黑体"/>
                <w:b/>
                <w:bCs w:val="0"/>
                <w:kern w:val="2"/>
                <w:sz w:val="24"/>
                <w:szCs w:val="24"/>
                <w:lang w:val="en-US" w:eastAsia="zh-CN" w:bidi="ar"/>
              </w:rPr>
              <w:t>审查内容</w:t>
            </w:r>
          </w:p>
        </w:tc>
        <w:tc>
          <w:tcPr>
            <w:tcW w:w="1997" w:type="pct"/>
            <w:tcBorders>
              <w:top w:val="single" w:color="auto" w:sz="4" w:space="0"/>
              <w:left w:val="nil"/>
              <w:bottom w:val="single" w:color="auto" w:sz="4" w:space="0"/>
              <w:right w:val="single" w:color="auto" w:sz="4" w:space="0"/>
            </w:tcBorders>
            <w:shd w:val="clear" w:color="auto" w:fill="D9D9D9"/>
            <w:vAlign w:val="center"/>
          </w:tcPr>
          <w:p w14:paraId="67F5D9FE">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黑体" w:hAnsi="宋体" w:eastAsia="黑体" w:cs="黑体"/>
                <w:b/>
                <w:bCs/>
                <w:kern w:val="2"/>
                <w:sz w:val="24"/>
                <w:szCs w:val="24"/>
                <w:lang w:val="en-US" w:eastAsia="zh-CN" w:bidi="ar"/>
              </w:rPr>
              <w:t>审查标准</w:t>
            </w:r>
          </w:p>
        </w:tc>
        <w:tc>
          <w:tcPr>
            <w:tcW w:w="614" w:type="pct"/>
            <w:tcBorders>
              <w:top w:val="single" w:color="auto" w:sz="4" w:space="0"/>
              <w:left w:val="nil"/>
              <w:bottom w:val="single" w:color="auto" w:sz="4" w:space="0"/>
              <w:right w:val="single" w:color="auto" w:sz="4" w:space="0"/>
            </w:tcBorders>
            <w:shd w:val="clear" w:color="auto" w:fill="D9D9D9"/>
            <w:vAlign w:val="center"/>
          </w:tcPr>
          <w:p w14:paraId="44B40A21">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黑体" w:hAnsi="宋体" w:eastAsia="黑体" w:cs="黑体"/>
                <w:b/>
                <w:bCs/>
                <w:kern w:val="2"/>
                <w:sz w:val="24"/>
                <w:szCs w:val="24"/>
                <w:lang w:val="en-US" w:eastAsia="zh-CN" w:bidi="ar"/>
              </w:rPr>
              <w:t>自查结论</w:t>
            </w:r>
          </w:p>
        </w:tc>
        <w:tc>
          <w:tcPr>
            <w:tcW w:w="738" w:type="pct"/>
            <w:tcBorders>
              <w:top w:val="single" w:color="auto" w:sz="4" w:space="0"/>
              <w:left w:val="nil"/>
              <w:bottom w:val="single" w:color="auto" w:sz="4" w:space="0"/>
              <w:right w:val="single" w:color="auto" w:sz="4" w:space="0"/>
            </w:tcBorders>
            <w:shd w:val="clear" w:color="auto" w:fill="D9D9D9"/>
            <w:vAlign w:val="center"/>
          </w:tcPr>
          <w:p w14:paraId="3F61D16B">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黑体" w:hAnsi="宋体" w:eastAsia="黑体" w:cs="黑体"/>
                <w:b/>
                <w:bCs/>
                <w:kern w:val="2"/>
                <w:sz w:val="24"/>
                <w:szCs w:val="24"/>
                <w:lang w:val="en-US" w:eastAsia="zh-CN" w:bidi="ar"/>
              </w:rPr>
              <w:t>证明资料</w:t>
            </w:r>
          </w:p>
        </w:tc>
      </w:tr>
      <w:tr w14:paraId="72AAC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454" w:hRule="atLeast"/>
          <w:jc w:val="center"/>
        </w:trPr>
        <w:tc>
          <w:tcPr>
            <w:tcW w:w="421" w:type="pct"/>
            <w:tcBorders>
              <w:top w:val="single" w:color="auto" w:sz="4" w:space="0"/>
              <w:left w:val="single" w:color="auto" w:sz="4" w:space="0"/>
              <w:bottom w:val="single" w:color="auto" w:sz="4" w:space="0"/>
              <w:right w:val="single" w:color="auto" w:sz="4" w:space="0"/>
            </w:tcBorders>
            <w:shd w:val="clear" w:color="auto" w:fill="auto"/>
            <w:vAlign w:val="center"/>
          </w:tcPr>
          <w:p w14:paraId="43564B1C">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宋体" w:hAnsi="宋体" w:eastAsia="宋体" w:cs="宋体"/>
                <w:kern w:val="2"/>
                <w:sz w:val="24"/>
                <w:szCs w:val="24"/>
                <w:lang w:val="en-US" w:eastAsia="zh-CN" w:bidi="ar"/>
              </w:rPr>
              <w:t>1</w:t>
            </w:r>
          </w:p>
        </w:tc>
        <w:tc>
          <w:tcPr>
            <w:tcW w:w="1228" w:type="pct"/>
            <w:tcBorders>
              <w:top w:val="single" w:color="auto" w:sz="4" w:space="0"/>
              <w:left w:val="nil"/>
              <w:bottom w:val="single" w:color="auto" w:sz="4" w:space="0"/>
              <w:right w:val="single" w:color="auto" w:sz="4" w:space="0"/>
            </w:tcBorders>
            <w:shd w:val="clear" w:color="auto" w:fill="auto"/>
            <w:vAlign w:val="center"/>
          </w:tcPr>
          <w:p w14:paraId="21D31F5C">
            <w:pPr>
              <w:keepNext w:val="0"/>
              <w:keepLines w:val="0"/>
              <w:widowControl w:val="0"/>
              <w:suppressLineNumbers w:val="0"/>
              <w:spacing w:before="0" w:beforeAutospacing="0" w:after="0" w:afterAutospacing="0" w:line="360" w:lineRule="auto"/>
              <w:ind w:left="0" w:right="0"/>
              <w:jc w:val="left"/>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投标承诺函</w:t>
            </w:r>
          </w:p>
        </w:tc>
        <w:tc>
          <w:tcPr>
            <w:tcW w:w="1997" w:type="pct"/>
            <w:tcBorders>
              <w:top w:val="single" w:color="auto" w:sz="4" w:space="0"/>
              <w:left w:val="nil"/>
              <w:bottom w:val="single" w:color="auto" w:sz="4" w:space="0"/>
              <w:right w:val="single" w:color="auto" w:sz="4" w:space="0"/>
            </w:tcBorders>
            <w:shd w:val="clear" w:color="auto" w:fill="auto"/>
            <w:vAlign w:val="center"/>
          </w:tcPr>
          <w:p w14:paraId="07EC9DE8">
            <w:pPr>
              <w:keepNext w:val="0"/>
              <w:keepLines w:val="0"/>
              <w:widowControl w:val="0"/>
              <w:suppressLineNumbers w:val="0"/>
              <w:spacing w:before="0" w:beforeAutospacing="0" w:after="0" w:afterAutospacing="0" w:line="360" w:lineRule="auto"/>
              <w:ind w:left="0" w:right="0"/>
              <w:jc w:val="both"/>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按对应格式文件填写、签署、盖章。</w:t>
            </w:r>
          </w:p>
        </w:tc>
        <w:tc>
          <w:tcPr>
            <w:tcW w:w="614" w:type="pct"/>
            <w:tcBorders>
              <w:top w:val="single" w:color="auto" w:sz="4" w:space="0"/>
              <w:left w:val="nil"/>
              <w:bottom w:val="single" w:color="auto" w:sz="4" w:space="0"/>
              <w:right w:val="single" w:color="auto" w:sz="4" w:space="0"/>
            </w:tcBorders>
            <w:shd w:val="clear" w:color="auto" w:fill="auto"/>
            <w:vAlign w:val="center"/>
          </w:tcPr>
          <w:p w14:paraId="00451026">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通过；</w:t>
            </w:r>
          </w:p>
          <w:p w14:paraId="6C7548E0">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不通过</w:t>
            </w:r>
          </w:p>
        </w:tc>
        <w:tc>
          <w:tcPr>
            <w:tcW w:w="738" w:type="pct"/>
            <w:tcBorders>
              <w:top w:val="single" w:color="auto" w:sz="4" w:space="0"/>
              <w:left w:val="nil"/>
              <w:bottom w:val="single" w:color="auto" w:sz="4" w:space="0"/>
              <w:right w:val="single" w:color="auto" w:sz="4" w:space="0"/>
            </w:tcBorders>
            <w:shd w:val="clear" w:color="auto" w:fill="auto"/>
            <w:vAlign w:val="center"/>
          </w:tcPr>
          <w:p w14:paraId="4B881843">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见投标文件</w:t>
            </w:r>
          </w:p>
          <w:p w14:paraId="59C92AB0">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第（）页</w:t>
            </w:r>
          </w:p>
        </w:tc>
      </w:tr>
      <w:tr w14:paraId="6999F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34" w:hRule="atLeast"/>
          <w:jc w:val="center"/>
        </w:trPr>
        <w:tc>
          <w:tcPr>
            <w:tcW w:w="421" w:type="pct"/>
            <w:tcBorders>
              <w:top w:val="single" w:color="auto" w:sz="4" w:space="0"/>
              <w:left w:val="single" w:color="auto" w:sz="4" w:space="0"/>
              <w:bottom w:val="single" w:color="auto" w:sz="4" w:space="0"/>
              <w:right w:val="single" w:color="auto" w:sz="4" w:space="0"/>
            </w:tcBorders>
            <w:shd w:val="clear" w:color="auto" w:fill="auto"/>
            <w:vAlign w:val="center"/>
          </w:tcPr>
          <w:p w14:paraId="4AB934AA">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2</w:t>
            </w:r>
          </w:p>
        </w:tc>
        <w:tc>
          <w:tcPr>
            <w:tcW w:w="1228" w:type="pct"/>
            <w:tcBorders>
              <w:top w:val="single" w:color="auto" w:sz="4" w:space="0"/>
              <w:left w:val="nil"/>
              <w:bottom w:val="single" w:color="auto" w:sz="4" w:space="0"/>
              <w:right w:val="single" w:color="auto" w:sz="4" w:space="0"/>
            </w:tcBorders>
            <w:shd w:val="clear" w:color="auto" w:fill="auto"/>
            <w:vAlign w:val="center"/>
          </w:tcPr>
          <w:p w14:paraId="4B63B28F">
            <w:pPr>
              <w:keepNext w:val="0"/>
              <w:keepLines w:val="0"/>
              <w:widowControl w:val="0"/>
              <w:suppressLineNumbers w:val="0"/>
              <w:spacing w:before="0" w:beforeAutospacing="0" w:after="0" w:afterAutospacing="0" w:line="360" w:lineRule="auto"/>
              <w:ind w:left="0" w:right="0"/>
              <w:jc w:val="left"/>
              <w:rPr>
                <w:rFonts w:hint="eastAsia" w:ascii="黑体" w:hAnsi="宋体" w:eastAsia="黑体" w:cs="黑体"/>
                <w:bCs/>
                <w:kern w:val="2"/>
                <w:sz w:val="24"/>
                <w:szCs w:val="24"/>
              </w:rPr>
            </w:pPr>
            <w:r>
              <w:rPr>
                <w:rFonts w:hint="eastAsia" w:ascii="黑体" w:hAnsi="宋体" w:eastAsia="黑体" w:cs="黑体"/>
                <w:kern w:val="2"/>
                <w:sz w:val="24"/>
                <w:szCs w:val="24"/>
                <w:lang w:val="en-US" w:eastAsia="zh-CN" w:bidi="ar"/>
              </w:rPr>
              <w:t>法定代表人（单位负责人）证明书及授权书</w:t>
            </w:r>
          </w:p>
        </w:tc>
        <w:tc>
          <w:tcPr>
            <w:tcW w:w="1997" w:type="pct"/>
            <w:tcBorders>
              <w:top w:val="single" w:color="auto" w:sz="4" w:space="0"/>
              <w:left w:val="nil"/>
              <w:bottom w:val="single" w:color="auto" w:sz="4" w:space="0"/>
              <w:right w:val="single" w:color="auto" w:sz="4" w:space="0"/>
            </w:tcBorders>
            <w:shd w:val="clear" w:color="auto" w:fill="auto"/>
            <w:vAlign w:val="center"/>
          </w:tcPr>
          <w:p w14:paraId="68E8290B">
            <w:pPr>
              <w:keepNext w:val="0"/>
              <w:keepLines w:val="0"/>
              <w:widowControl w:val="0"/>
              <w:suppressLineNumbers w:val="0"/>
              <w:spacing w:before="0" w:beforeAutospacing="0" w:after="0" w:afterAutospacing="0" w:line="360" w:lineRule="auto"/>
              <w:ind w:left="0" w:right="0"/>
              <w:jc w:val="both"/>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按对应格式文件签署、盖章。</w:t>
            </w:r>
          </w:p>
        </w:tc>
        <w:tc>
          <w:tcPr>
            <w:tcW w:w="614" w:type="pct"/>
            <w:tcBorders>
              <w:top w:val="single" w:color="auto" w:sz="4" w:space="0"/>
              <w:left w:val="nil"/>
              <w:bottom w:val="single" w:color="auto" w:sz="4" w:space="0"/>
              <w:right w:val="single" w:color="auto" w:sz="4" w:space="0"/>
            </w:tcBorders>
            <w:shd w:val="clear" w:color="auto" w:fill="auto"/>
            <w:vAlign w:val="center"/>
          </w:tcPr>
          <w:p w14:paraId="28114C85">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通过；</w:t>
            </w:r>
          </w:p>
          <w:p w14:paraId="45E1A66F">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不通过</w:t>
            </w:r>
          </w:p>
        </w:tc>
        <w:tc>
          <w:tcPr>
            <w:tcW w:w="738" w:type="pct"/>
            <w:tcBorders>
              <w:top w:val="single" w:color="auto" w:sz="4" w:space="0"/>
              <w:left w:val="nil"/>
              <w:bottom w:val="single" w:color="auto" w:sz="4" w:space="0"/>
              <w:right w:val="single" w:color="auto" w:sz="4" w:space="0"/>
            </w:tcBorders>
            <w:shd w:val="clear" w:color="auto" w:fill="auto"/>
            <w:vAlign w:val="center"/>
          </w:tcPr>
          <w:p w14:paraId="45F5D796">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见投标文件</w:t>
            </w:r>
          </w:p>
          <w:p w14:paraId="363C36CC">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第（）页</w:t>
            </w:r>
          </w:p>
        </w:tc>
      </w:tr>
      <w:tr w14:paraId="48032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7" w:hRule="atLeast"/>
          <w:jc w:val="center"/>
        </w:trPr>
        <w:tc>
          <w:tcPr>
            <w:tcW w:w="421" w:type="pct"/>
            <w:tcBorders>
              <w:top w:val="single" w:color="auto" w:sz="4" w:space="0"/>
              <w:left w:val="single" w:color="auto" w:sz="4" w:space="0"/>
              <w:bottom w:val="single" w:color="auto" w:sz="4" w:space="0"/>
              <w:right w:val="single" w:color="auto" w:sz="4" w:space="0"/>
            </w:tcBorders>
            <w:shd w:val="clear" w:color="auto" w:fill="auto"/>
            <w:vAlign w:val="center"/>
          </w:tcPr>
          <w:p w14:paraId="14213A44">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3</w:t>
            </w:r>
          </w:p>
        </w:tc>
        <w:tc>
          <w:tcPr>
            <w:tcW w:w="1228" w:type="pct"/>
            <w:tcBorders>
              <w:top w:val="single" w:color="auto" w:sz="4" w:space="0"/>
              <w:left w:val="nil"/>
              <w:bottom w:val="single" w:color="auto" w:sz="4" w:space="0"/>
              <w:right w:val="single" w:color="auto" w:sz="4" w:space="0"/>
            </w:tcBorders>
            <w:shd w:val="clear" w:color="auto" w:fill="auto"/>
            <w:vAlign w:val="center"/>
          </w:tcPr>
          <w:p w14:paraId="5EFE6531">
            <w:pPr>
              <w:keepNext w:val="0"/>
              <w:keepLines w:val="0"/>
              <w:widowControl w:val="0"/>
              <w:suppressLineNumbers w:val="0"/>
              <w:spacing w:before="0" w:beforeAutospacing="0" w:after="0" w:afterAutospacing="0" w:line="360" w:lineRule="auto"/>
              <w:ind w:left="0" w:right="0"/>
              <w:jc w:val="left"/>
              <w:rPr>
                <w:rFonts w:hint="eastAsia" w:ascii="宋体" w:hAnsi="宋体" w:eastAsia="黑体" w:cs="宋体"/>
                <w:kern w:val="2"/>
                <w:sz w:val="24"/>
                <w:szCs w:val="24"/>
              </w:rPr>
            </w:pPr>
            <w:r>
              <w:rPr>
                <w:rFonts w:hint="eastAsia" w:ascii="黑体" w:hAnsi="宋体" w:eastAsia="黑体" w:cs="黑体"/>
                <w:kern w:val="2"/>
                <w:sz w:val="24"/>
                <w:szCs w:val="24"/>
                <w:lang w:val="en-US" w:eastAsia="zh-CN" w:bidi="ar"/>
              </w:rPr>
              <w:t>报价要求</w:t>
            </w:r>
          </w:p>
        </w:tc>
        <w:tc>
          <w:tcPr>
            <w:tcW w:w="1997" w:type="pct"/>
            <w:tcBorders>
              <w:top w:val="single" w:color="auto" w:sz="4" w:space="0"/>
              <w:left w:val="nil"/>
              <w:bottom w:val="single" w:color="auto" w:sz="4" w:space="0"/>
              <w:right w:val="single" w:color="auto" w:sz="4" w:space="0"/>
            </w:tcBorders>
            <w:shd w:val="clear" w:color="auto" w:fill="auto"/>
            <w:vAlign w:val="center"/>
          </w:tcPr>
          <w:p w14:paraId="47FB52BB">
            <w:pPr>
              <w:keepNext w:val="0"/>
              <w:keepLines w:val="0"/>
              <w:widowControl w:val="0"/>
              <w:suppressLineNumbers w:val="0"/>
              <w:spacing w:before="0" w:beforeAutospacing="0" w:after="0" w:afterAutospacing="0" w:line="360" w:lineRule="auto"/>
              <w:ind w:left="0" w:right="0"/>
              <w:jc w:val="both"/>
              <w:rPr>
                <w:rFonts w:hint="eastAsia" w:ascii="宋体" w:hAnsi="宋体" w:eastAsia="黑体" w:cs="Tahoma"/>
                <w:kern w:val="28"/>
                <w:sz w:val="24"/>
                <w:szCs w:val="24"/>
              </w:rPr>
            </w:pPr>
            <w:r>
              <w:rPr>
                <w:rFonts w:hint="eastAsia" w:ascii="黑体" w:hAnsi="宋体" w:eastAsia="黑体" w:cs="黑体"/>
                <w:kern w:val="2"/>
                <w:sz w:val="24"/>
                <w:szCs w:val="24"/>
                <w:lang w:val="en-US" w:eastAsia="zh-CN" w:bidi="ar"/>
              </w:rPr>
              <w:t>报价是固定价且是唯一的，总报价没有超出最高限价</w:t>
            </w:r>
          </w:p>
        </w:tc>
        <w:tc>
          <w:tcPr>
            <w:tcW w:w="614" w:type="pct"/>
            <w:tcBorders>
              <w:top w:val="single" w:color="auto" w:sz="4" w:space="0"/>
              <w:left w:val="nil"/>
              <w:bottom w:val="single" w:color="auto" w:sz="4" w:space="0"/>
              <w:right w:val="single" w:color="auto" w:sz="4" w:space="0"/>
            </w:tcBorders>
            <w:shd w:val="clear" w:color="auto" w:fill="auto"/>
            <w:vAlign w:val="center"/>
          </w:tcPr>
          <w:p w14:paraId="5D42186A">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通过；</w:t>
            </w:r>
          </w:p>
          <w:p w14:paraId="2B5B0B6C">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不通过</w:t>
            </w:r>
          </w:p>
        </w:tc>
        <w:tc>
          <w:tcPr>
            <w:tcW w:w="738" w:type="pct"/>
            <w:tcBorders>
              <w:top w:val="single" w:color="auto" w:sz="4" w:space="0"/>
              <w:left w:val="nil"/>
              <w:bottom w:val="single" w:color="auto" w:sz="4" w:space="0"/>
              <w:right w:val="single" w:color="auto" w:sz="4" w:space="0"/>
            </w:tcBorders>
            <w:shd w:val="clear" w:color="auto" w:fill="auto"/>
            <w:vAlign w:val="center"/>
          </w:tcPr>
          <w:p w14:paraId="484990C1">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见投标文件</w:t>
            </w:r>
          </w:p>
          <w:p w14:paraId="6639C846">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第（）页</w:t>
            </w:r>
          </w:p>
        </w:tc>
      </w:tr>
      <w:tr w14:paraId="61F0B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907" w:hRule="atLeast"/>
          <w:jc w:val="center"/>
        </w:trPr>
        <w:tc>
          <w:tcPr>
            <w:tcW w:w="421" w:type="pct"/>
            <w:tcBorders>
              <w:top w:val="single" w:color="auto" w:sz="4" w:space="0"/>
              <w:left w:val="single" w:color="auto" w:sz="4" w:space="0"/>
              <w:bottom w:val="single" w:color="auto" w:sz="4" w:space="0"/>
              <w:right w:val="single" w:color="auto" w:sz="4" w:space="0"/>
            </w:tcBorders>
            <w:shd w:val="clear" w:color="auto" w:fill="auto"/>
            <w:vAlign w:val="center"/>
          </w:tcPr>
          <w:p w14:paraId="3BEEB780">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4</w:t>
            </w:r>
          </w:p>
        </w:tc>
        <w:tc>
          <w:tcPr>
            <w:tcW w:w="1228" w:type="pct"/>
            <w:tcBorders>
              <w:top w:val="single" w:color="auto" w:sz="4" w:space="0"/>
              <w:left w:val="nil"/>
              <w:bottom w:val="single" w:color="auto" w:sz="4" w:space="0"/>
              <w:right w:val="single" w:color="auto" w:sz="4" w:space="0"/>
            </w:tcBorders>
            <w:shd w:val="clear" w:color="auto" w:fill="auto"/>
            <w:vAlign w:val="center"/>
          </w:tcPr>
          <w:p w14:paraId="4D01D17A">
            <w:pPr>
              <w:keepNext w:val="0"/>
              <w:keepLines w:val="0"/>
              <w:widowControl w:val="0"/>
              <w:suppressLineNumbers w:val="0"/>
              <w:spacing w:before="0" w:beforeAutospacing="0" w:after="0" w:afterAutospacing="0" w:line="360" w:lineRule="auto"/>
              <w:ind w:left="0" w:right="0"/>
              <w:jc w:val="left"/>
              <w:rPr>
                <w:rFonts w:hint="eastAsia" w:ascii="宋体" w:hAnsi="宋体" w:eastAsia="黑体" w:cs="宋体"/>
                <w:kern w:val="2"/>
                <w:sz w:val="24"/>
                <w:szCs w:val="24"/>
              </w:rPr>
            </w:pPr>
            <w:r>
              <w:rPr>
                <w:rFonts w:hint="eastAsia" w:ascii="黑体" w:hAnsi="宋体" w:eastAsia="黑体" w:cs="黑体"/>
                <w:kern w:val="2"/>
                <w:sz w:val="24"/>
                <w:szCs w:val="24"/>
                <w:lang w:val="en-US" w:eastAsia="zh-CN" w:bidi="ar"/>
              </w:rPr>
              <w:t>投标文件的完整性</w:t>
            </w:r>
          </w:p>
        </w:tc>
        <w:tc>
          <w:tcPr>
            <w:tcW w:w="1997" w:type="pct"/>
            <w:tcBorders>
              <w:top w:val="single" w:color="auto" w:sz="4" w:space="0"/>
              <w:left w:val="nil"/>
              <w:bottom w:val="single" w:color="auto" w:sz="4" w:space="0"/>
              <w:right w:val="single" w:color="auto" w:sz="4" w:space="0"/>
            </w:tcBorders>
            <w:shd w:val="clear" w:color="auto" w:fill="auto"/>
            <w:vAlign w:val="center"/>
          </w:tcPr>
          <w:p w14:paraId="49E37862">
            <w:pPr>
              <w:keepNext w:val="0"/>
              <w:keepLines w:val="0"/>
              <w:widowControl w:val="0"/>
              <w:suppressLineNumbers w:val="0"/>
              <w:spacing w:before="0" w:beforeAutospacing="0" w:after="0" w:afterAutospacing="0" w:line="360" w:lineRule="auto"/>
              <w:ind w:left="0" w:right="0"/>
              <w:jc w:val="both"/>
              <w:rPr>
                <w:rFonts w:hint="eastAsia" w:ascii="黑体" w:hAnsi="宋体" w:eastAsia="黑体" w:cs="黑体"/>
                <w:kern w:val="2"/>
                <w:sz w:val="24"/>
                <w:szCs w:val="24"/>
              </w:rPr>
            </w:pPr>
            <w:r>
              <w:rPr>
                <w:rFonts w:hint="eastAsia" w:ascii="黑体" w:hAnsi="宋体" w:eastAsia="黑体" w:cs="黑体"/>
                <w:kern w:val="28"/>
                <w:sz w:val="24"/>
                <w:szCs w:val="24"/>
                <w:lang w:val="en-US" w:eastAsia="zh-CN" w:bidi="ar"/>
              </w:rPr>
              <w:t>投标文件完整且编排有序，响应内容基本完整，无重大错漏。</w:t>
            </w:r>
          </w:p>
        </w:tc>
        <w:tc>
          <w:tcPr>
            <w:tcW w:w="614" w:type="pct"/>
            <w:tcBorders>
              <w:top w:val="single" w:color="auto" w:sz="4" w:space="0"/>
              <w:left w:val="nil"/>
              <w:bottom w:val="single" w:color="auto" w:sz="4" w:space="0"/>
              <w:right w:val="single" w:color="auto" w:sz="4" w:space="0"/>
            </w:tcBorders>
            <w:shd w:val="clear" w:color="auto" w:fill="auto"/>
            <w:vAlign w:val="center"/>
          </w:tcPr>
          <w:p w14:paraId="59327E75">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通过；</w:t>
            </w:r>
          </w:p>
          <w:p w14:paraId="54198EBD">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不通过</w:t>
            </w:r>
          </w:p>
        </w:tc>
        <w:tc>
          <w:tcPr>
            <w:tcW w:w="738" w:type="pct"/>
            <w:tcBorders>
              <w:top w:val="single" w:color="auto" w:sz="4" w:space="0"/>
              <w:left w:val="nil"/>
              <w:bottom w:val="single" w:color="auto" w:sz="4" w:space="0"/>
              <w:right w:val="single" w:color="auto" w:sz="4" w:space="0"/>
            </w:tcBorders>
            <w:shd w:val="clear" w:color="auto" w:fill="auto"/>
            <w:vAlign w:val="center"/>
          </w:tcPr>
          <w:p w14:paraId="3FDC23E8">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见投标文件</w:t>
            </w:r>
          </w:p>
          <w:p w14:paraId="7FC617B8">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第（）页</w:t>
            </w:r>
          </w:p>
        </w:tc>
      </w:tr>
      <w:tr w14:paraId="7415E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421" w:type="pct"/>
            <w:tcBorders>
              <w:top w:val="single" w:color="auto" w:sz="4" w:space="0"/>
              <w:left w:val="single" w:color="auto" w:sz="4" w:space="0"/>
              <w:bottom w:val="single" w:color="auto" w:sz="4" w:space="0"/>
              <w:right w:val="single" w:color="auto" w:sz="4" w:space="0"/>
            </w:tcBorders>
            <w:shd w:val="clear" w:color="auto" w:fill="auto"/>
            <w:vAlign w:val="center"/>
          </w:tcPr>
          <w:p w14:paraId="5C6A9B7F">
            <w:pPr>
              <w:keepNext w:val="0"/>
              <w:keepLines w:val="0"/>
              <w:widowControl w:val="0"/>
              <w:suppressLineNumbers w:val="0"/>
              <w:spacing w:before="0" w:beforeAutospacing="0" w:after="0" w:afterAutospacing="0" w:line="360" w:lineRule="auto"/>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5</w:t>
            </w:r>
          </w:p>
        </w:tc>
        <w:tc>
          <w:tcPr>
            <w:tcW w:w="1228" w:type="pct"/>
            <w:tcBorders>
              <w:top w:val="single" w:color="auto" w:sz="4" w:space="0"/>
              <w:left w:val="nil"/>
              <w:bottom w:val="single" w:color="auto" w:sz="4" w:space="0"/>
              <w:right w:val="single" w:color="auto" w:sz="4" w:space="0"/>
            </w:tcBorders>
            <w:shd w:val="clear" w:color="auto" w:fill="auto"/>
            <w:vAlign w:val="center"/>
          </w:tcPr>
          <w:p w14:paraId="449BAB1F">
            <w:pPr>
              <w:keepNext w:val="0"/>
              <w:keepLines w:val="0"/>
              <w:widowControl w:val="0"/>
              <w:suppressLineNumbers w:val="0"/>
              <w:spacing w:before="0" w:beforeAutospacing="0" w:after="0" w:afterAutospacing="0" w:line="360" w:lineRule="auto"/>
              <w:ind w:left="0" w:right="0"/>
              <w:jc w:val="left"/>
              <w:rPr>
                <w:rFonts w:hint="eastAsia" w:ascii="宋体" w:hAnsi="宋体" w:eastAsia="黑体" w:cs="宋体"/>
                <w:kern w:val="2"/>
                <w:sz w:val="24"/>
                <w:szCs w:val="24"/>
              </w:rPr>
            </w:pPr>
            <w:r>
              <w:rPr>
                <w:rFonts w:hint="eastAsia" w:ascii="黑体" w:hAnsi="宋体" w:eastAsia="黑体" w:cs="黑体"/>
                <w:kern w:val="2"/>
                <w:sz w:val="24"/>
                <w:szCs w:val="24"/>
                <w:lang w:val="en-US" w:eastAsia="zh-CN" w:bidi="ar"/>
              </w:rPr>
              <w:t>投标有效期</w:t>
            </w:r>
          </w:p>
        </w:tc>
        <w:tc>
          <w:tcPr>
            <w:tcW w:w="1997" w:type="pct"/>
            <w:tcBorders>
              <w:top w:val="single" w:color="auto" w:sz="4" w:space="0"/>
              <w:left w:val="nil"/>
              <w:bottom w:val="single" w:color="auto" w:sz="4" w:space="0"/>
              <w:right w:val="single" w:color="auto" w:sz="4" w:space="0"/>
            </w:tcBorders>
            <w:shd w:val="clear" w:color="auto" w:fill="auto"/>
            <w:vAlign w:val="center"/>
          </w:tcPr>
          <w:p w14:paraId="6082FE16">
            <w:pPr>
              <w:keepNext w:val="0"/>
              <w:keepLines w:val="0"/>
              <w:widowControl w:val="0"/>
              <w:suppressLineNumbers w:val="0"/>
              <w:spacing w:before="0" w:beforeAutospacing="0" w:after="0" w:afterAutospacing="0" w:line="360" w:lineRule="auto"/>
              <w:ind w:left="0" w:right="0"/>
              <w:jc w:val="both"/>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提交投标文件的截止之日起</w:t>
            </w:r>
            <w:r>
              <w:rPr>
                <w:rFonts w:hint="eastAsia" w:ascii="宋体" w:hAnsi="宋体" w:eastAsia="宋体" w:cs="宋体"/>
                <w:kern w:val="2"/>
                <w:sz w:val="24"/>
                <w:szCs w:val="24"/>
                <w:lang w:val="en-US" w:eastAsia="zh-CN" w:bidi="ar"/>
              </w:rPr>
              <w:t>90</w:t>
            </w:r>
            <w:r>
              <w:rPr>
                <w:rFonts w:hint="eastAsia" w:ascii="黑体" w:hAnsi="宋体" w:eastAsia="黑体" w:cs="黑体"/>
                <w:kern w:val="2"/>
                <w:sz w:val="24"/>
                <w:szCs w:val="24"/>
                <w:lang w:val="en-US" w:eastAsia="zh-CN" w:bidi="ar"/>
              </w:rPr>
              <w:t>日历天。</w:t>
            </w:r>
          </w:p>
        </w:tc>
        <w:tc>
          <w:tcPr>
            <w:tcW w:w="614" w:type="pct"/>
            <w:tcBorders>
              <w:top w:val="single" w:color="auto" w:sz="4" w:space="0"/>
              <w:left w:val="nil"/>
              <w:bottom w:val="single" w:color="auto" w:sz="4" w:space="0"/>
              <w:right w:val="single" w:color="auto" w:sz="4" w:space="0"/>
            </w:tcBorders>
            <w:shd w:val="clear" w:color="auto" w:fill="auto"/>
            <w:vAlign w:val="center"/>
          </w:tcPr>
          <w:p w14:paraId="4BF794FE">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通过；</w:t>
            </w:r>
          </w:p>
          <w:p w14:paraId="29745B3B">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不通过</w:t>
            </w:r>
          </w:p>
        </w:tc>
        <w:tc>
          <w:tcPr>
            <w:tcW w:w="738" w:type="pct"/>
            <w:tcBorders>
              <w:top w:val="single" w:color="auto" w:sz="4" w:space="0"/>
              <w:left w:val="nil"/>
              <w:bottom w:val="single" w:color="auto" w:sz="4" w:space="0"/>
              <w:right w:val="single" w:color="auto" w:sz="4" w:space="0"/>
            </w:tcBorders>
            <w:shd w:val="clear" w:color="auto" w:fill="auto"/>
            <w:vAlign w:val="center"/>
          </w:tcPr>
          <w:p w14:paraId="28A24121">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见投标文件</w:t>
            </w:r>
          </w:p>
          <w:p w14:paraId="360FB110">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第（）页</w:t>
            </w:r>
          </w:p>
        </w:tc>
      </w:tr>
      <w:tr w14:paraId="74C1A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421" w:type="pct"/>
            <w:tcBorders>
              <w:top w:val="single" w:color="auto" w:sz="4" w:space="0"/>
              <w:left w:val="single" w:color="auto" w:sz="4" w:space="0"/>
              <w:bottom w:val="single" w:color="auto" w:sz="4" w:space="0"/>
              <w:right w:val="single" w:color="auto" w:sz="4" w:space="0"/>
            </w:tcBorders>
            <w:shd w:val="clear" w:color="auto" w:fill="auto"/>
            <w:vAlign w:val="center"/>
          </w:tcPr>
          <w:p w14:paraId="1856A628">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6</w:t>
            </w:r>
          </w:p>
        </w:tc>
        <w:tc>
          <w:tcPr>
            <w:tcW w:w="1228" w:type="pct"/>
            <w:tcBorders>
              <w:top w:val="single" w:color="auto" w:sz="4" w:space="0"/>
              <w:left w:val="nil"/>
              <w:bottom w:val="single" w:color="auto" w:sz="4" w:space="0"/>
              <w:right w:val="single" w:color="auto" w:sz="4" w:space="0"/>
            </w:tcBorders>
            <w:shd w:val="clear" w:color="auto" w:fill="auto"/>
            <w:vAlign w:val="center"/>
          </w:tcPr>
          <w:p w14:paraId="2575BE1D">
            <w:pPr>
              <w:keepNext w:val="0"/>
              <w:keepLines w:val="0"/>
              <w:widowControl w:val="0"/>
              <w:suppressLineNumbers w:val="0"/>
              <w:spacing w:before="0" w:beforeAutospacing="0" w:after="0" w:afterAutospacing="0" w:line="360" w:lineRule="auto"/>
              <w:ind w:left="0" w:right="0"/>
              <w:jc w:val="left"/>
              <w:rPr>
                <w:rFonts w:hint="eastAsia" w:ascii="宋体" w:hAnsi="宋体" w:eastAsia="黑体" w:cs="宋体"/>
                <w:kern w:val="2"/>
                <w:sz w:val="24"/>
                <w:szCs w:val="24"/>
              </w:rPr>
            </w:pPr>
            <w:r>
              <w:rPr>
                <w:rFonts w:hint="eastAsia" w:ascii="黑体" w:hAnsi="宋体" w:eastAsia="黑体" w:cs="黑体"/>
                <w:kern w:val="2"/>
                <w:sz w:val="24"/>
                <w:szCs w:val="24"/>
                <w:lang w:val="en-US" w:eastAsia="zh-CN" w:bidi="ar"/>
              </w:rPr>
              <w:t>服务期限</w:t>
            </w:r>
          </w:p>
        </w:tc>
        <w:tc>
          <w:tcPr>
            <w:tcW w:w="1997" w:type="pct"/>
            <w:tcBorders>
              <w:top w:val="single" w:color="auto" w:sz="4" w:space="0"/>
              <w:left w:val="nil"/>
              <w:bottom w:val="single" w:color="auto" w:sz="4" w:space="0"/>
              <w:right w:val="single" w:color="auto" w:sz="4" w:space="0"/>
            </w:tcBorders>
            <w:shd w:val="clear" w:color="auto" w:fill="auto"/>
            <w:vAlign w:val="center"/>
          </w:tcPr>
          <w:p w14:paraId="68FA6328">
            <w:pPr>
              <w:keepNext w:val="0"/>
              <w:keepLines w:val="0"/>
              <w:widowControl w:val="0"/>
              <w:suppressLineNumbers w:val="0"/>
              <w:spacing w:before="0" w:beforeAutospacing="0" w:after="0" w:afterAutospacing="0" w:line="360" w:lineRule="auto"/>
              <w:ind w:left="0" w:right="0"/>
              <w:jc w:val="both"/>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满足招标文件要求。</w:t>
            </w:r>
          </w:p>
        </w:tc>
        <w:tc>
          <w:tcPr>
            <w:tcW w:w="614" w:type="pct"/>
            <w:tcBorders>
              <w:top w:val="single" w:color="auto" w:sz="4" w:space="0"/>
              <w:left w:val="nil"/>
              <w:bottom w:val="single" w:color="auto" w:sz="4" w:space="0"/>
              <w:right w:val="single" w:color="auto" w:sz="4" w:space="0"/>
            </w:tcBorders>
            <w:shd w:val="clear" w:color="auto" w:fill="auto"/>
            <w:vAlign w:val="center"/>
          </w:tcPr>
          <w:p w14:paraId="36385399">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通过；</w:t>
            </w:r>
          </w:p>
          <w:p w14:paraId="34F93C05">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不通过</w:t>
            </w:r>
          </w:p>
        </w:tc>
        <w:tc>
          <w:tcPr>
            <w:tcW w:w="738" w:type="pct"/>
            <w:tcBorders>
              <w:top w:val="single" w:color="auto" w:sz="4" w:space="0"/>
              <w:left w:val="nil"/>
              <w:bottom w:val="single" w:color="auto" w:sz="4" w:space="0"/>
              <w:right w:val="single" w:color="auto" w:sz="4" w:space="0"/>
            </w:tcBorders>
            <w:shd w:val="clear" w:color="auto" w:fill="auto"/>
            <w:vAlign w:val="center"/>
          </w:tcPr>
          <w:p w14:paraId="1F757CA5">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见投标文件</w:t>
            </w:r>
          </w:p>
          <w:p w14:paraId="5FA00C5D">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第（）页</w:t>
            </w:r>
          </w:p>
        </w:tc>
      </w:tr>
      <w:tr w14:paraId="6EE67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454" w:hRule="atLeast"/>
          <w:jc w:val="center"/>
        </w:trPr>
        <w:tc>
          <w:tcPr>
            <w:tcW w:w="421" w:type="pct"/>
            <w:tcBorders>
              <w:top w:val="single" w:color="auto" w:sz="4" w:space="0"/>
              <w:left w:val="single" w:color="auto" w:sz="4" w:space="0"/>
              <w:bottom w:val="single" w:color="auto" w:sz="4" w:space="0"/>
              <w:right w:val="single" w:color="auto" w:sz="4" w:space="0"/>
            </w:tcBorders>
            <w:shd w:val="clear" w:color="auto" w:fill="auto"/>
            <w:vAlign w:val="center"/>
          </w:tcPr>
          <w:p w14:paraId="4FB6C965">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7</w:t>
            </w:r>
          </w:p>
        </w:tc>
        <w:tc>
          <w:tcPr>
            <w:tcW w:w="1228" w:type="pct"/>
            <w:tcBorders>
              <w:top w:val="single" w:color="auto" w:sz="4" w:space="0"/>
              <w:left w:val="nil"/>
              <w:bottom w:val="single" w:color="auto" w:sz="4" w:space="0"/>
              <w:right w:val="single" w:color="auto" w:sz="4" w:space="0"/>
            </w:tcBorders>
            <w:shd w:val="clear" w:color="auto" w:fill="auto"/>
            <w:vAlign w:val="center"/>
          </w:tcPr>
          <w:p w14:paraId="716CD789">
            <w:pPr>
              <w:keepNext w:val="0"/>
              <w:keepLines w:val="0"/>
              <w:widowControl w:val="0"/>
              <w:suppressLineNumbers w:val="0"/>
              <w:spacing w:before="0" w:beforeAutospacing="0" w:after="0" w:afterAutospacing="0" w:line="360" w:lineRule="auto"/>
              <w:ind w:left="0" w:right="0"/>
              <w:jc w:val="left"/>
              <w:rPr>
                <w:rFonts w:hint="eastAsia" w:ascii="宋体" w:hAnsi="宋体" w:eastAsia="黑体" w:cs="宋体"/>
                <w:kern w:val="2"/>
                <w:sz w:val="24"/>
                <w:szCs w:val="24"/>
              </w:rPr>
            </w:pPr>
            <w:r>
              <w:rPr>
                <w:rFonts w:hint="eastAsia" w:ascii="黑体" w:hAnsi="宋体" w:eastAsia="黑体" w:cs="黑体"/>
                <w:kern w:val="2"/>
                <w:sz w:val="24"/>
                <w:szCs w:val="24"/>
                <w:lang w:val="en-US" w:eastAsia="zh-CN" w:bidi="ar"/>
              </w:rPr>
              <w:t>其他</w:t>
            </w:r>
          </w:p>
        </w:tc>
        <w:tc>
          <w:tcPr>
            <w:tcW w:w="1997" w:type="pct"/>
            <w:tcBorders>
              <w:top w:val="single" w:color="auto" w:sz="4" w:space="0"/>
              <w:left w:val="nil"/>
              <w:bottom w:val="single" w:color="auto" w:sz="4" w:space="0"/>
              <w:right w:val="single" w:color="auto" w:sz="4" w:space="0"/>
            </w:tcBorders>
            <w:shd w:val="clear" w:color="auto" w:fill="auto"/>
            <w:vAlign w:val="center"/>
          </w:tcPr>
          <w:p w14:paraId="5FD6583E">
            <w:pPr>
              <w:keepNext w:val="0"/>
              <w:keepLines w:val="0"/>
              <w:widowControl w:val="0"/>
              <w:suppressLineNumbers w:val="0"/>
              <w:spacing w:before="0" w:beforeAutospacing="0" w:after="0" w:afterAutospacing="0" w:line="360" w:lineRule="auto"/>
              <w:ind w:left="0" w:right="0"/>
              <w:jc w:val="both"/>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法律、法规和招标文件规定的其他无效情形。</w:t>
            </w:r>
          </w:p>
        </w:tc>
        <w:tc>
          <w:tcPr>
            <w:tcW w:w="614" w:type="pct"/>
            <w:tcBorders>
              <w:top w:val="single" w:color="auto" w:sz="4" w:space="0"/>
              <w:left w:val="nil"/>
              <w:bottom w:val="single" w:color="auto" w:sz="4" w:space="0"/>
              <w:right w:val="single" w:color="auto" w:sz="4" w:space="0"/>
            </w:tcBorders>
            <w:shd w:val="clear" w:color="auto" w:fill="auto"/>
            <w:vAlign w:val="center"/>
          </w:tcPr>
          <w:p w14:paraId="5DB7A4B9">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通过；</w:t>
            </w:r>
          </w:p>
          <w:p w14:paraId="7ED02DDA">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不通过</w:t>
            </w:r>
          </w:p>
        </w:tc>
        <w:tc>
          <w:tcPr>
            <w:tcW w:w="738" w:type="pct"/>
            <w:tcBorders>
              <w:top w:val="single" w:color="auto" w:sz="4" w:space="0"/>
              <w:left w:val="nil"/>
              <w:bottom w:val="single" w:color="auto" w:sz="4" w:space="0"/>
              <w:right w:val="single" w:color="auto" w:sz="4" w:space="0"/>
            </w:tcBorders>
            <w:shd w:val="clear" w:color="auto" w:fill="auto"/>
            <w:vAlign w:val="center"/>
          </w:tcPr>
          <w:p w14:paraId="4C50ABE2">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见投标文件</w:t>
            </w:r>
          </w:p>
          <w:p w14:paraId="24201C85">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黑体"/>
                <w:kern w:val="2"/>
                <w:sz w:val="24"/>
                <w:szCs w:val="24"/>
              </w:rPr>
            </w:pPr>
            <w:r>
              <w:rPr>
                <w:rFonts w:hint="eastAsia" w:ascii="黑体" w:hAnsi="宋体" w:eastAsia="黑体" w:cs="黑体"/>
                <w:kern w:val="2"/>
                <w:sz w:val="24"/>
                <w:szCs w:val="24"/>
                <w:lang w:val="en-US" w:eastAsia="zh-CN" w:bidi="ar"/>
              </w:rPr>
              <w:t>第（）页</w:t>
            </w:r>
          </w:p>
        </w:tc>
      </w:tr>
    </w:tbl>
    <w:p w14:paraId="58C4E37F">
      <w:pPr>
        <w:keepNext w:val="0"/>
        <w:keepLines w:val="0"/>
        <w:widowControl w:val="0"/>
        <w:suppressLineNumbers w:val="0"/>
        <w:spacing w:before="0" w:beforeAutospacing="0" w:after="0" w:afterAutospacing="0" w:line="360" w:lineRule="auto"/>
        <w:ind w:left="121" w:leftChars="-171" w:right="-235" w:rightChars="-112" w:hanging="480" w:hangingChars="200"/>
        <w:jc w:val="both"/>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注：以上材料将作为供应商有效性审核的重要内容之一，供应商必须严格按照其内容及序列要求在投标文件中对应如实提供，对符合性证明文件的任何缺漏和不符合项将会直接导致无效投标。供应商根据自查结论在对应的</w:t>
      </w: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打</w:t>
      </w:r>
      <w:r>
        <w:rPr>
          <w:rFonts w:hint="eastAsia" w:ascii="宋体" w:hAnsi="宋体" w:eastAsia="宋体" w:cs="宋体"/>
          <w:kern w:val="2"/>
          <w:sz w:val="24"/>
          <w:szCs w:val="24"/>
          <w:lang w:val="en-US" w:eastAsia="zh-CN" w:bidi="ar"/>
        </w:rPr>
        <w:t>“√”</w:t>
      </w:r>
      <w:r>
        <w:rPr>
          <w:rFonts w:hint="eastAsia" w:ascii="黑体" w:hAnsi="宋体" w:eastAsia="黑体" w:cs="黑体"/>
          <w:kern w:val="2"/>
          <w:sz w:val="24"/>
          <w:szCs w:val="24"/>
          <w:lang w:val="en-US" w:eastAsia="zh-CN" w:bidi="ar"/>
        </w:rPr>
        <w:t>。</w:t>
      </w:r>
    </w:p>
    <w:p w14:paraId="05F38E20">
      <w:pPr>
        <w:keepNext w:val="0"/>
        <w:keepLines w:val="0"/>
        <w:widowControl w:val="0"/>
        <w:suppressLineNumbers w:val="0"/>
        <w:spacing w:before="0" w:beforeAutospacing="0" w:after="0" w:afterAutospacing="0"/>
        <w:ind w:left="0" w:right="0"/>
        <w:jc w:val="both"/>
        <w:rPr>
          <w:rFonts w:hint="eastAsia" w:ascii="宋体" w:hAnsi="宋体" w:eastAsia="黑体" w:cs="宋体"/>
          <w:kern w:val="2"/>
          <w:sz w:val="21"/>
          <w:szCs w:val="21"/>
        </w:rPr>
      </w:pPr>
      <w:r>
        <w:rPr>
          <w:rFonts w:hint="eastAsia" w:ascii="宋体" w:hAnsi="宋体" w:eastAsia="黑体" w:cs="宋体"/>
          <w:kern w:val="2"/>
          <w:sz w:val="21"/>
          <w:szCs w:val="21"/>
          <w:lang w:val="en-US" w:eastAsia="zh-CN" w:bidi="ar"/>
        </w:rPr>
        <w:t xml:space="preserve"> </w:t>
      </w:r>
    </w:p>
    <w:p w14:paraId="7F11E578">
      <w:pPr>
        <w:keepNext w:val="0"/>
        <w:keepLines w:val="0"/>
        <w:widowControl w:val="0"/>
        <w:suppressLineNumbers w:val="0"/>
        <w:autoSpaceDE w:val="0"/>
        <w:autoSpaceDN w:val="0"/>
        <w:adjustRightInd w:val="0"/>
        <w:spacing w:before="0" w:beforeAutospacing="0" w:after="0" w:afterAutospacing="0"/>
        <w:ind w:left="0" w:right="0"/>
        <w:jc w:val="center"/>
        <w:outlineLvl w:val="2"/>
        <w:rPr>
          <w:rFonts w:hint="eastAsia" w:ascii="宋体" w:hAnsi="宋体" w:eastAsia="宋体" w:cs="宋体"/>
          <w:b/>
          <w:bCs w:val="0"/>
          <w:kern w:val="2"/>
          <w:sz w:val="30"/>
          <w:szCs w:val="30"/>
        </w:rPr>
      </w:pPr>
      <w:r>
        <w:rPr>
          <w:rFonts w:hint="eastAsia" w:ascii="宋体" w:hAnsi="宋体" w:eastAsia="宋体" w:cs="宋体"/>
          <w:b/>
          <w:bCs w:val="0"/>
          <w:kern w:val="2"/>
          <w:sz w:val="30"/>
          <w:szCs w:val="30"/>
          <w:lang w:val="en-US" w:eastAsia="zh-CN" w:bidi="ar"/>
        </w:rPr>
        <w:t xml:space="preserve"> </w:t>
      </w:r>
    </w:p>
    <w:p w14:paraId="545A8802">
      <w:pPr>
        <w:pStyle w:val="6"/>
        <w:keepNext w:val="0"/>
        <w:keepLines w:val="0"/>
        <w:widowControl/>
        <w:numPr>
          <w:ilvl w:val="0"/>
          <w:numId w:val="8"/>
        </w:numPr>
        <w:suppressLineNumbers w:val="0"/>
        <w:spacing w:line="360" w:lineRule="auto"/>
        <w:ind w:left="1391" w:leftChars="0" w:hanging="341" w:firstLineChars="0"/>
        <w:outlineLvl w:val="1"/>
        <w:rPr>
          <w:rFonts w:hint="eastAsia" w:ascii="宋体" w:hAnsi="宋体" w:eastAsia="宋体" w:cs="宋体"/>
          <w:b/>
          <w:bCs/>
          <w:kern w:val="2"/>
          <w:sz w:val="24"/>
          <w:szCs w:val="24"/>
        </w:rPr>
      </w:pPr>
      <w:r>
        <w:rPr>
          <w:rFonts w:hint="eastAsia" w:ascii="宋体" w:hAnsi="宋体" w:eastAsia="宋体" w:cs="宋体"/>
          <w:b/>
          <w:bCs/>
          <w:kern w:val="2"/>
          <w:sz w:val="24"/>
          <w:szCs w:val="24"/>
        </w:rPr>
        <w:t>投标承诺函</w:t>
      </w:r>
    </w:p>
    <w:p w14:paraId="10798A22">
      <w:pPr>
        <w:keepNext w:val="0"/>
        <w:keepLines w:val="0"/>
        <w:widowControl w:val="0"/>
        <w:suppressLineNumbers w:val="0"/>
        <w:autoSpaceDE w:val="0"/>
        <w:autoSpaceDN w:val="0"/>
        <w:adjustRightInd w:val="0"/>
        <w:spacing w:before="0" w:beforeAutospacing="0" w:after="0" w:afterAutospacing="0" w:line="360" w:lineRule="auto"/>
        <w:ind w:left="0" w:right="0"/>
        <w:jc w:val="center"/>
        <w:rPr>
          <w:rFonts w:hint="eastAsia" w:ascii="宋体" w:hAnsi="宋体" w:eastAsia="宋体" w:cs="宋体"/>
          <w:b/>
          <w:bCs w:val="0"/>
          <w:kern w:val="0"/>
          <w:sz w:val="32"/>
          <w:szCs w:val="32"/>
        </w:rPr>
      </w:pPr>
      <w:r>
        <w:rPr>
          <w:rFonts w:hint="eastAsia" w:ascii="宋体" w:hAnsi="宋体" w:eastAsia="宋体" w:cs="宋体"/>
          <w:b/>
          <w:bCs w:val="0"/>
          <w:kern w:val="0"/>
          <w:sz w:val="32"/>
          <w:szCs w:val="32"/>
          <w:lang w:val="en-US" w:eastAsia="zh-CN" w:bidi="ar"/>
        </w:rPr>
        <w:t>投标承诺函</w:t>
      </w:r>
    </w:p>
    <w:p w14:paraId="44DD4B03">
      <w:pPr>
        <w:keepNext w:val="0"/>
        <w:keepLines w:val="0"/>
        <w:widowControl w:val="0"/>
        <w:suppressLineNumbers w:val="0"/>
        <w:spacing w:before="0" w:beforeAutospacing="0" w:after="0" w:afterAutospacing="0" w:line="400" w:lineRule="exact"/>
        <w:ind w:left="105" w:leftChars="50" w:right="0" w:firstLine="2"/>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致：广州美术学院</w:t>
      </w:r>
    </w:p>
    <w:p w14:paraId="70769CC2">
      <w:pPr>
        <w:keepNext w:val="0"/>
        <w:keepLines w:val="0"/>
        <w:widowControl w:val="0"/>
        <w:suppressLineNumbers w:val="0"/>
        <w:spacing w:before="0" w:beforeAutospacing="0" w:after="0" w:afterAutospacing="0" w:line="400" w:lineRule="exact"/>
        <w:ind w:left="105" w:leftChars="50" w:right="0" w:firstLine="373" w:firstLineChars="178"/>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根据贵方采购的项目名称：广州美术学院综合档案室气体灭火消防系统建设项目（三次）(项目编号：</w:t>
      </w:r>
      <w:r>
        <w:rPr>
          <w:rFonts w:hint="eastAsia" w:ascii="宋体" w:hAnsi="宋体" w:eastAsia="宋体" w:cs="宋体"/>
          <w:kern w:val="2"/>
          <w:sz w:val="21"/>
          <w:szCs w:val="21"/>
          <w:u w:val="single"/>
          <w:lang w:val="en-US" w:eastAsia="zh-CN" w:bidi="ar"/>
        </w:rPr>
        <w:t>校内2025-27</w:t>
      </w:r>
      <w:r>
        <w:rPr>
          <w:rFonts w:hint="eastAsia" w:ascii="宋体" w:hAnsi="宋体" w:eastAsia="宋体" w:cs="宋体"/>
          <w:kern w:val="2"/>
          <w:sz w:val="21"/>
          <w:szCs w:val="21"/>
          <w:lang w:val="en-US" w:eastAsia="zh-CN" w:bidi="ar"/>
        </w:rPr>
        <w:t>)的招标文件要求，签字代表________________(全名及职衔)经正式授权并以投标供应商</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(投标供应商名称、地址)的名义提交投标文件参加招标。</w:t>
      </w:r>
    </w:p>
    <w:p w14:paraId="087CF05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在此，我方声明如下：</w:t>
      </w:r>
    </w:p>
    <w:p w14:paraId="671D57B3">
      <w:pPr>
        <w:keepNext w:val="0"/>
        <w:keepLines w:val="0"/>
        <w:widowControl w:val="0"/>
        <w:numPr>
          <w:ilvl w:val="0"/>
          <w:numId w:val="9"/>
        </w:numPr>
        <w:suppressLineNumbers w:val="0"/>
        <w:spacing w:before="0" w:beforeAutospacing="0" w:after="0" w:afterAutospacing="0" w:line="400" w:lineRule="exact"/>
        <w:ind w:left="420" w:right="0" w:hanging="42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我方同意并接受招标文件的各项要求，遵守招标文件中的各项规定，按招标文件的要求提供报价。</w:t>
      </w:r>
    </w:p>
    <w:p w14:paraId="01E99D13">
      <w:pPr>
        <w:keepNext w:val="0"/>
        <w:keepLines w:val="0"/>
        <w:widowControl w:val="0"/>
        <w:numPr>
          <w:ilvl w:val="0"/>
          <w:numId w:val="9"/>
        </w:numPr>
        <w:suppressLineNumbers w:val="0"/>
        <w:spacing w:before="0" w:beforeAutospacing="0" w:after="0" w:afterAutospacing="0" w:line="400" w:lineRule="exact"/>
        <w:ind w:left="420" w:right="0" w:hanging="42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我方同意投标有效期为响应文件递交截止日起90天。如果我方的投标成交，投标有效期延长至合同验收之日。</w:t>
      </w:r>
    </w:p>
    <w:p w14:paraId="7C87AE60">
      <w:pPr>
        <w:keepNext w:val="0"/>
        <w:keepLines w:val="0"/>
        <w:widowControl w:val="0"/>
        <w:numPr>
          <w:ilvl w:val="0"/>
          <w:numId w:val="9"/>
        </w:numPr>
        <w:suppressLineNumbers w:val="0"/>
        <w:spacing w:before="0" w:beforeAutospacing="0" w:after="0" w:afterAutospacing="0" w:line="400" w:lineRule="exact"/>
        <w:ind w:left="420" w:right="0" w:hanging="42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我方已经详细地阅读并完全明白了全部招标文件及附件，包括澄清、修改（如有）和所有已提供的参考资料以及有关附件，我方完全明白并认为此招标文件没有倾向性，也不存在排斥潜在投标供应商的内容，我方同意招标文件的相关条款，放弃对招标文件提出误解和质疑的一切权力。</w:t>
      </w:r>
    </w:p>
    <w:p w14:paraId="7E64A4A3">
      <w:pPr>
        <w:keepNext w:val="0"/>
        <w:keepLines w:val="0"/>
        <w:widowControl w:val="0"/>
        <w:numPr>
          <w:ilvl w:val="0"/>
          <w:numId w:val="9"/>
        </w:numPr>
        <w:suppressLineNumbers w:val="0"/>
        <w:spacing w:before="0" w:beforeAutospacing="0" w:after="0" w:afterAutospacing="0" w:line="400" w:lineRule="exact"/>
        <w:ind w:left="420" w:right="0" w:hanging="42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我方已毫无保留地向贵方提供一切所需的证明材料。</w:t>
      </w:r>
    </w:p>
    <w:p w14:paraId="3F1D089D">
      <w:pPr>
        <w:keepNext w:val="0"/>
        <w:keepLines w:val="0"/>
        <w:widowControl w:val="0"/>
        <w:numPr>
          <w:ilvl w:val="0"/>
          <w:numId w:val="9"/>
        </w:numPr>
        <w:suppressLineNumbers w:val="0"/>
        <w:spacing w:before="0" w:beforeAutospacing="0" w:after="0" w:afterAutospacing="0" w:line="400" w:lineRule="exact"/>
        <w:ind w:left="420" w:right="0" w:hanging="420"/>
        <w:jc w:val="both"/>
        <w:rPr>
          <w:rFonts w:hint="eastAsia" w:ascii="宋体" w:hAnsi="宋体" w:eastAsia="宋体" w:cs="宋体"/>
          <w:kern w:val="2"/>
          <w:sz w:val="21"/>
          <w:szCs w:val="21"/>
        </w:rPr>
      </w:pPr>
      <w:r>
        <w:rPr>
          <w:rFonts w:hint="eastAsia" w:ascii="宋体" w:hAnsi="宋体" w:eastAsia="宋体" w:cs="宋体"/>
          <w:kern w:val="0"/>
          <w:sz w:val="21"/>
          <w:szCs w:val="21"/>
          <w:lang w:val="en-US" w:eastAsia="zh-CN" w:bidi="ar"/>
        </w:rPr>
        <w:t>完全理解采购单位拒绝迟到的任何投标文件</w:t>
      </w:r>
      <w:r>
        <w:rPr>
          <w:rFonts w:hint="eastAsia" w:ascii="宋体" w:hAnsi="宋体" w:eastAsia="宋体" w:cs="宋体"/>
          <w:kern w:val="2"/>
          <w:sz w:val="21"/>
          <w:szCs w:val="21"/>
          <w:lang w:val="en-US" w:eastAsia="zh-CN" w:bidi="ar"/>
        </w:rPr>
        <w:t>。</w:t>
      </w:r>
    </w:p>
    <w:p w14:paraId="1BAB51AB">
      <w:pPr>
        <w:keepNext w:val="0"/>
        <w:keepLines w:val="0"/>
        <w:widowControl w:val="0"/>
        <w:numPr>
          <w:ilvl w:val="0"/>
          <w:numId w:val="9"/>
        </w:numPr>
        <w:suppressLineNumbers w:val="0"/>
        <w:spacing w:before="0" w:beforeAutospacing="0" w:after="0" w:afterAutospacing="0" w:line="400" w:lineRule="exact"/>
        <w:ind w:left="420" w:right="0" w:hanging="42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我方完全服从和尊重评标委员会所作的评审结果。</w:t>
      </w:r>
    </w:p>
    <w:p w14:paraId="2B898CAE">
      <w:pPr>
        <w:keepNext w:val="0"/>
        <w:keepLines w:val="0"/>
        <w:widowControl w:val="0"/>
        <w:numPr>
          <w:ilvl w:val="0"/>
          <w:numId w:val="9"/>
        </w:numPr>
        <w:suppressLineNumbers w:val="0"/>
        <w:spacing w:before="0" w:beforeAutospacing="0" w:after="0" w:afterAutospacing="0" w:line="400" w:lineRule="exact"/>
        <w:ind w:left="420" w:right="0" w:hanging="42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如果</w:t>
      </w:r>
      <w:r>
        <w:rPr>
          <w:rFonts w:hint="eastAsia" w:ascii="宋体" w:hAnsi="宋体" w:eastAsia="宋体" w:cs="宋体"/>
          <w:kern w:val="2"/>
          <w:sz w:val="21"/>
          <w:szCs w:val="21"/>
          <w:lang w:val="en-US" w:eastAsia="zh-CN" w:bidi="ar"/>
        </w:rPr>
        <w:t>我方</w:t>
      </w:r>
      <w:r>
        <w:rPr>
          <w:rFonts w:hint="eastAsia" w:ascii="宋体" w:hAnsi="宋体" w:eastAsia="宋体" w:cs="宋体"/>
          <w:spacing w:val="4"/>
          <w:kern w:val="2"/>
          <w:sz w:val="21"/>
          <w:szCs w:val="21"/>
          <w:lang w:val="en-US" w:eastAsia="zh-CN" w:bidi="ar"/>
        </w:rPr>
        <w:t>在成交后未能按规定签订采购合同或在</w:t>
      </w:r>
      <w:r>
        <w:rPr>
          <w:rFonts w:hint="eastAsia" w:ascii="宋体" w:hAnsi="宋体" w:eastAsia="宋体" w:cs="宋体"/>
          <w:kern w:val="0"/>
          <w:sz w:val="21"/>
          <w:szCs w:val="21"/>
          <w:lang w:val="en-US" w:eastAsia="zh-CN" w:bidi="ar"/>
        </w:rPr>
        <w:t>招标有效期内撤回投标文件的</w:t>
      </w:r>
      <w:r>
        <w:rPr>
          <w:rFonts w:hint="eastAsia" w:ascii="宋体" w:hAnsi="宋体" w:eastAsia="宋体" w:cs="宋体"/>
          <w:spacing w:val="4"/>
          <w:kern w:val="2"/>
          <w:sz w:val="21"/>
          <w:szCs w:val="21"/>
          <w:lang w:val="en-US" w:eastAsia="zh-CN" w:bidi="ar"/>
        </w:rPr>
        <w:t>，其招标保证金将被贵方没收（如有）。</w:t>
      </w:r>
    </w:p>
    <w:p w14:paraId="4E1DECDF">
      <w:pPr>
        <w:keepNext w:val="0"/>
        <w:keepLines w:val="0"/>
        <w:widowControl w:val="0"/>
        <w:numPr>
          <w:ilvl w:val="0"/>
          <w:numId w:val="9"/>
        </w:numPr>
        <w:suppressLineNumbers w:val="0"/>
        <w:spacing w:before="0" w:beforeAutospacing="0" w:after="0" w:afterAutospacing="0" w:line="400" w:lineRule="exact"/>
        <w:ind w:left="420" w:right="0" w:hanging="42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如果我方未对招标文件要求作实质性响应，则完全同意并接受</w:t>
      </w:r>
      <w:r>
        <w:rPr>
          <w:rStyle w:val="23"/>
          <w:rFonts w:hint="eastAsia" w:ascii="宋体" w:hAnsi="宋体" w:eastAsia="宋体" w:cs="宋体"/>
          <w:kern w:val="2"/>
          <w:sz w:val="21"/>
          <w:szCs w:val="21"/>
          <w:lang w:val="en-US" w:eastAsia="zh-CN" w:bidi="ar"/>
        </w:rPr>
        <w:t>按无效投标处理。</w:t>
      </w:r>
    </w:p>
    <w:p w14:paraId="5DC253C8">
      <w:pPr>
        <w:keepNext w:val="0"/>
        <w:keepLines w:val="0"/>
        <w:widowControl w:val="0"/>
        <w:numPr>
          <w:ilvl w:val="0"/>
          <w:numId w:val="9"/>
        </w:numPr>
        <w:suppressLineNumbers w:val="0"/>
        <w:spacing w:before="0" w:beforeAutospacing="0" w:after="0" w:afterAutospacing="0" w:line="400" w:lineRule="exact"/>
        <w:ind w:left="420" w:right="0" w:hanging="42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我们证明提交的一切文件，无论是原件还是复印件均为准确、真实、有效、完整的，绝无任何虚假、伪造或者夸大。我们在此郑重承诺：在本次采购活动中，如有违法、违规、弄虚作假行为，采购人有权取消我方的投标及成交资格，所造成的损失、不良后果及法律责任，一律由我公司（企业）承担。</w:t>
      </w:r>
    </w:p>
    <w:p w14:paraId="5AB56DBB">
      <w:pPr>
        <w:keepNext w:val="0"/>
        <w:keepLines w:val="0"/>
        <w:widowControl w:val="0"/>
        <w:suppressLineNumbers w:val="0"/>
        <w:spacing w:before="0" w:beforeAutospacing="0" w:after="0" w:afterAutospacing="0" w:line="400" w:lineRule="exact"/>
        <w:ind w:left="480" w:right="0"/>
        <w:jc w:val="both"/>
        <w:rPr>
          <w:rFonts w:hint="eastAsia" w:ascii="宋体" w:hAnsi="宋体" w:eastAsia="宋体" w:cs="宋体"/>
          <w:b/>
          <w:bCs w:val="0"/>
          <w:kern w:val="2"/>
          <w:sz w:val="21"/>
          <w:szCs w:val="21"/>
        </w:rPr>
      </w:pPr>
      <w:r>
        <w:rPr>
          <w:rFonts w:hint="eastAsia" w:ascii="宋体" w:hAnsi="宋体" w:eastAsia="宋体" w:cs="宋体"/>
          <w:b/>
          <w:bCs w:val="0"/>
          <w:kern w:val="2"/>
          <w:sz w:val="21"/>
          <w:szCs w:val="21"/>
          <w:lang w:val="en-US" w:eastAsia="zh-CN" w:bidi="ar"/>
        </w:rPr>
        <w:t>（注：本投标承诺函内容不得擅自删改，否则视为无效投标）</w:t>
      </w:r>
    </w:p>
    <w:p w14:paraId="14D85ABF">
      <w:pPr>
        <w:keepNext w:val="0"/>
        <w:keepLines w:val="0"/>
        <w:widowControl w:val="0"/>
        <w:suppressLineNumbers w:val="0"/>
        <w:spacing w:before="0" w:beforeAutospacing="0" w:after="0" w:afterAutospacing="0" w:line="400" w:lineRule="exact"/>
        <w:ind w:left="480" w:right="0"/>
        <w:jc w:val="both"/>
        <w:rPr>
          <w:rFonts w:hint="eastAsia" w:ascii="宋体" w:hAnsi="宋体" w:eastAsia="宋体" w:cs="宋体"/>
          <w:b/>
          <w:bCs w:val="0"/>
          <w:kern w:val="2"/>
          <w:sz w:val="21"/>
          <w:szCs w:val="21"/>
        </w:rPr>
      </w:pPr>
      <w:r>
        <w:rPr>
          <w:rFonts w:hint="eastAsia" w:ascii="宋体" w:hAnsi="宋体" w:eastAsia="宋体" w:cs="宋体"/>
          <w:b/>
          <w:bCs w:val="0"/>
          <w:kern w:val="2"/>
          <w:sz w:val="21"/>
          <w:szCs w:val="21"/>
          <w:lang w:val="en-US" w:eastAsia="zh-CN" w:bidi="ar"/>
        </w:rPr>
        <w:t xml:space="preserve"> </w:t>
      </w:r>
    </w:p>
    <w:p w14:paraId="423AC905">
      <w:pPr>
        <w:keepNext w:val="0"/>
        <w:keepLines w:val="0"/>
        <w:widowControl w:val="0"/>
        <w:suppressLineNumbers w:val="0"/>
        <w:spacing w:before="0" w:beforeAutospacing="0" w:after="0" w:afterAutospacing="0" w:line="360" w:lineRule="auto"/>
        <w:ind w:left="3570" w:leftChars="50" w:right="0" w:hanging="3465" w:hangingChars="1650"/>
        <w:jc w:val="both"/>
        <w:rPr>
          <w:rFonts w:hint="eastAsia" w:ascii="宋体" w:hAnsi="宋体" w:eastAsia="宋体" w:cs="宋体"/>
          <w:kern w:val="2"/>
          <w:sz w:val="21"/>
          <w:szCs w:val="21"/>
          <w:u w:val="single"/>
        </w:rPr>
      </w:pPr>
      <w:r>
        <w:rPr>
          <w:rFonts w:hint="eastAsia" w:ascii="宋体" w:hAnsi="宋体" w:eastAsia="宋体" w:cs="宋体"/>
          <w:kern w:val="2"/>
          <w:sz w:val="21"/>
          <w:szCs w:val="21"/>
          <w:lang w:val="en-US" w:eastAsia="zh-CN" w:bidi="ar"/>
        </w:rPr>
        <w:t xml:space="preserve">                                投标供应商名称（盖公章）：</w:t>
      </w:r>
      <w:r>
        <w:rPr>
          <w:rFonts w:hint="eastAsia" w:ascii="宋体" w:hAnsi="宋体" w:eastAsia="宋体" w:cs="宋体"/>
          <w:kern w:val="2"/>
          <w:sz w:val="21"/>
          <w:szCs w:val="21"/>
          <w:u w:val="single"/>
          <w:lang w:val="en-US" w:eastAsia="zh-CN" w:bidi="ar"/>
        </w:rPr>
        <w:t xml:space="preserve">                             </w:t>
      </w:r>
    </w:p>
    <w:p w14:paraId="3D9ED09F">
      <w:pPr>
        <w:keepNext w:val="0"/>
        <w:keepLines w:val="0"/>
        <w:widowControl w:val="0"/>
        <w:suppressLineNumbers w:val="0"/>
        <w:spacing w:before="0" w:beforeAutospacing="0" w:after="0" w:afterAutospacing="0" w:line="360" w:lineRule="auto"/>
        <w:ind w:left="3570" w:leftChars="1650" w:right="0" w:hanging="105" w:hangingChars="50"/>
        <w:jc w:val="both"/>
        <w:rPr>
          <w:rFonts w:hint="eastAsia" w:ascii="宋体" w:hAnsi="宋体" w:eastAsia="宋体" w:cs="宋体"/>
          <w:kern w:val="2"/>
          <w:sz w:val="21"/>
          <w:szCs w:val="21"/>
          <w:u w:val="single"/>
        </w:rPr>
      </w:pPr>
      <w:r>
        <w:rPr>
          <w:rFonts w:hint="eastAsia" w:ascii="宋体" w:hAnsi="宋体" w:eastAsia="宋体" w:cs="宋体"/>
          <w:kern w:val="2"/>
          <w:sz w:val="21"/>
          <w:szCs w:val="21"/>
          <w:lang w:val="en-US" w:eastAsia="zh-CN" w:bidi="ar"/>
        </w:rPr>
        <w:t>投标供应商授权代表（签字或盖章）：</w:t>
      </w:r>
      <w:r>
        <w:rPr>
          <w:rFonts w:hint="eastAsia" w:ascii="宋体" w:hAnsi="宋体" w:eastAsia="宋体" w:cs="宋体"/>
          <w:kern w:val="2"/>
          <w:sz w:val="21"/>
          <w:szCs w:val="21"/>
          <w:u w:val="single"/>
          <w:lang w:val="en-US" w:eastAsia="zh-CN" w:bidi="ar"/>
        </w:rPr>
        <w:t xml:space="preserve">                     </w:t>
      </w:r>
    </w:p>
    <w:p w14:paraId="1B7CC022">
      <w:pPr>
        <w:keepNext w:val="0"/>
        <w:keepLines w:val="0"/>
        <w:widowControl w:val="0"/>
        <w:suppressLineNumbers w:val="0"/>
        <w:spacing w:before="0" w:beforeAutospacing="0" w:after="0" w:afterAutospacing="0" w:line="360" w:lineRule="auto"/>
        <w:ind w:left="0" w:right="0" w:firstLine="3465" w:firstLineChars="165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日    期：</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年</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月</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日</w:t>
      </w:r>
    </w:p>
    <w:p w14:paraId="33564CEB">
      <w:pPr>
        <w:pStyle w:val="6"/>
        <w:keepNext w:val="0"/>
        <w:keepLines w:val="0"/>
        <w:widowControl/>
        <w:numPr>
          <w:ilvl w:val="0"/>
          <w:numId w:val="8"/>
        </w:numPr>
        <w:suppressLineNumbers w:val="0"/>
        <w:spacing w:line="360" w:lineRule="auto"/>
        <w:ind w:left="1391" w:leftChars="0" w:hanging="341" w:firstLineChars="0"/>
        <w:outlineLvl w:val="1"/>
        <w:rPr>
          <w:rFonts w:hint="eastAsia" w:ascii="宋体" w:hAnsi="宋体" w:eastAsia="宋体" w:cs="宋体"/>
          <w:b/>
          <w:bCs/>
          <w:kern w:val="2"/>
          <w:sz w:val="24"/>
          <w:szCs w:val="24"/>
        </w:rPr>
      </w:pPr>
      <w:r>
        <w:rPr>
          <w:rFonts w:hint="eastAsia" w:ascii="宋体" w:hAnsi="宋体" w:eastAsia="宋体" w:cs="宋体"/>
          <w:b/>
          <w:bCs/>
          <w:kern w:val="2"/>
          <w:sz w:val="24"/>
          <w:szCs w:val="24"/>
        </w:rPr>
        <w:br w:type="page"/>
      </w:r>
      <w:r>
        <w:rPr>
          <w:rFonts w:hint="eastAsia" w:ascii="宋体" w:hAnsi="宋体" w:eastAsia="宋体" w:cs="宋体"/>
          <w:b/>
          <w:bCs/>
          <w:kern w:val="2"/>
          <w:sz w:val="24"/>
          <w:szCs w:val="24"/>
        </w:rPr>
        <w:t>资格文件声明函</w:t>
      </w:r>
    </w:p>
    <w:p w14:paraId="7544F235">
      <w:pPr>
        <w:pStyle w:val="6"/>
        <w:keepNext w:val="0"/>
        <w:keepLines w:val="0"/>
        <w:widowControl/>
        <w:suppressLineNumbers w:val="0"/>
        <w:jc w:val="center"/>
        <w:rPr>
          <w:rFonts w:hint="eastAsia" w:ascii="宋体" w:hAnsi="宋体" w:eastAsia="宋体" w:cs="宋体"/>
          <w:b/>
          <w:bCs/>
          <w:kern w:val="2"/>
          <w:sz w:val="21"/>
          <w:szCs w:val="21"/>
        </w:rPr>
      </w:pPr>
      <w:r>
        <w:rPr>
          <w:rFonts w:hint="eastAsia" w:ascii="宋体" w:hAnsi="宋体" w:eastAsia="宋体" w:cs="宋体"/>
          <w:b/>
          <w:bCs/>
          <w:kern w:val="2"/>
          <w:sz w:val="21"/>
          <w:szCs w:val="21"/>
        </w:rPr>
        <w:t xml:space="preserve"> </w:t>
      </w:r>
    </w:p>
    <w:p w14:paraId="4063C31A">
      <w:pPr>
        <w:keepNext w:val="0"/>
        <w:keepLines w:val="0"/>
        <w:widowControl w:val="0"/>
        <w:suppressLineNumbers w:val="0"/>
        <w:autoSpaceDE w:val="0"/>
        <w:autoSpaceDN w:val="0"/>
        <w:adjustRightInd w:val="0"/>
        <w:spacing w:before="0" w:beforeAutospacing="0" w:after="0" w:afterAutospacing="0" w:line="360" w:lineRule="auto"/>
        <w:ind w:left="0" w:right="0"/>
        <w:jc w:val="center"/>
        <w:rPr>
          <w:rFonts w:hint="eastAsia" w:ascii="宋体" w:hAnsi="宋体" w:eastAsia="宋体" w:cs="宋体"/>
          <w:b/>
          <w:bCs/>
          <w:kern w:val="2"/>
          <w:sz w:val="32"/>
          <w:szCs w:val="32"/>
        </w:rPr>
      </w:pPr>
      <w:r>
        <w:rPr>
          <w:rFonts w:hint="eastAsia" w:ascii="宋体" w:hAnsi="宋体" w:eastAsia="宋体" w:cs="宋体"/>
          <w:b/>
          <w:bCs/>
          <w:kern w:val="2"/>
          <w:sz w:val="32"/>
          <w:szCs w:val="32"/>
          <w:lang w:val="en-US" w:eastAsia="zh-CN" w:bidi="ar"/>
        </w:rPr>
        <w:t>资格文件声明函</w:t>
      </w:r>
    </w:p>
    <w:p w14:paraId="77BB71ED">
      <w:pPr>
        <w:keepNext w:val="0"/>
        <w:keepLines w:val="0"/>
        <w:widowControl w:val="0"/>
        <w:suppressLineNumbers w:val="0"/>
        <w:spacing w:before="0" w:beforeAutospacing="0" w:after="0" w:afterAutospacing="0" w:line="360" w:lineRule="auto"/>
        <w:ind w:left="105" w:leftChars="50" w:right="0" w:firstLine="2"/>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致：广州美术学院</w:t>
      </w:r>
    </w:p>
    <w:p w14:paraId="0CC3500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关于贵方采购项目名称：广州美术学院综合档案室气体灭火消防系统建设项目（三次）(项目编号：</w:t>
      </w:r>
      <w:r>
        <w:rPr>
          <w:rFonts w:hint="eastAsia" w:ascii="宋体" w:hAnsi="宋体" w:eastAsia="宋体" w:cs="宋体"/>
          <w:kern w:val="2"/>
          <w:sz w:val="21"/>
          <w:szCs w:val="21"/>
          <w:u w:val="single"/>
          <w:lang w:val="en-US" w:eastAsia="zh-CN" w:bidi="ar"/>
        </w:rPr>
        <w:t>校内2025-27</w:t>
      </w:r>
      <w:r>
        <w:rPr>
          <w:rFonts w:hint="eastAsia" w:ascii="宋体" w:hAnsi="宋体" w:eastAsia="宋体" w:cs="宋体"/>
          <w:kern w:val="2"/>
          <w:sz w:val="21"/>
          <w:szCs w:val="21"/>
          <w:lang w:val="en-US" w:eastAsia="zh-CN" w:bidi="ar"/>
        </w:rPr>
        <w:t>)招标邀请，</w:t>
      </w:r>
      <w:r>
        <w:rPr>
          <w:rFonts w:hint="eastAsia" w:ascii="宋体" w:hAnsi="宋体" w:eastAsia="宋体" w:cs="宋体"/>
          <w:kern w:val="1"/>
          <w:sz w:val="21"/>
          <w:szCs w:val="21"/>
          <w:lang w:val="en-US" w:eastAsia="zh-CN" w:bidi="ar"/>
        </w:rPr>
        <w:t>本公司（企业）愿意参加招标，提供招标文件中规定的货物及服务，并声明本公司（企业）具备本项目资格条件，并已清楚招标文件的要求及有关文件规定。现承诺在本次采购活动中提交的所有资质文件是准确、真实、有效的，如有违法、违规、弄虚作假行为，所造成的一切损失、不良后果及法律责任，一律由我公司（企业）承担。</w:t>
      </w:r>
    </w:p>
    <w:p w14:paraId="3289E2B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CB4A69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特此声明！</w:t>
      </w:r>
    </w:p>
    <w:p w14:paraId="6BAA2D7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385BE70">
      <w:pPr>
        <w:keepNext w:val="0"/>
        <w:keepLines w:val="0"/>
        <w:widowControl w:val="0"/>
        <w:suppressLineNumbers w:val="0"/>
        <w:spacing w:before="0" w:beforeAutospacing="0" w:after="0" w:afterAutospacing="0" w:line="360" w:lineRule="auto"/>
        <w:ind w:left="3570" w:leftChars="50" w:right="0" w:hanging="3465" w:hangingChars="1650"/>
        <w:jc w:val="both"/>
        <w:rPr>
          <w:rFonts w:hint="eastAsia" w:ascii="宋体" w:hAnsi="宋体" w:eastAsia="宋体" w:cs="宋体"/>
          <w:kern w:val="2"/>
          <w:sz w:val="21"/>
          <w:szCs w:val="21"/>
          <w:u w:val="single"/>
        </w:rPr>
      </w:pPr>
      <w:r>
        <w:rPr>
          <w:rFonts w:hint="eastAsia" w:ascii="宋体" w:hAnsi="宋体" w:eastAsia="宋体" w:cs="宋体"/>
          <w:kern w:val="2"/>
          <w:sz w:val="21"/>
          <w:szCs w:val="21"/>
          <w:lang w:val="en-US" w:eastAsia="zh-CN" w:bidi="ar"/>
        </w:rPr>
        <w:t xml:space="preserve">                                投标供应商名称（盖公章）：</w:t>
      </w:r>
      <w:r>
        <w:rPr>
          <w:rFonts w:hint="eastAsia" w:ascii="宋体" w:hAnsi="宋体" w:eastAsia="宋体" w:cs="宋体"/>
          <w:kern w:val="2"/>
          <w:sz w:val="21"/>
          <w:szCs w:val="21"/>
          <w:u w:val="single"/>
          <w:lang w:val="en-US" w:eastAsia="zh-CN" w:bidi="ar"/>
        </w:rPr>
        <w:t xml:space="preserve">                             </w:t>
      </w:r>
    </w:p>
    <w:p w14:paraId="47A876CF">
      <w:pPr>
        <w:keepNext w:val="0"/>
        <w:keepLines w:val="0"/>
        <w:widowControl w:val="0"/>
        <w:suppressLineNumbers w:val="0"/>
        <w:spacing w:before="0" w:beforeAutospacing="0" w:after="0" w:afterAutospacing="0" w:line="360" w:lineRule="auto"/>
        <w:ind w:left="3570" w:leftChars="1650" w:right="0" w:hanging="105" w:hangingChars="50"/>
        <w:jc w:val="both"/>
        <w:rPr>
          <w:rFonts w:hint="eastAsia" w:ascii="宋体" w:hAnsi="宋体" w:eastAsia="宋体" w:cs="宋体"/>
          <w:kern w:val="2"/>
          <w:sz w:val="21"/>
          <w:szCs w:val="21"/>
          <w:u w:val="single"/>
        </w:rPr>
      </w:pPr>
      <w:r>
        <w:rPr>
          <w:rFonts w:hint="eastAsia" w:ascii="宋体" w:hAnsi="宋体" w:eastAsia="宋体" w:cs="宋体"/>
          <w:kern w:val="2"/>
          <w:sz w:val="21"/>
          <w:szCs w:val="21"/>
          <w:lang w:val="en-US" w:eastAsia="zh-CN" w:bidi="ar"/>
        </w:rPr>
        <w:t>投标供应商授权代表（签字或盖章）：</w:t>
      </w:r>
      <w:r>
        <w:rPr>
          <w:rFonts w:hint="eastAsia" w:ascii="宋体" w:hAnsi="宋体" w:eastAsia="宋体" w:cs="宋体"/>
          <w:kern w:val="2"/>
          <w:sz w:val="21"/>
          <w:szCs w:val="21"/>
          <w:u w:val="single"/>
          <w:lang w:val="en-US" w:eastAsia="zh-CN" w:bidi="ar"/>
        </w:rPr>
        <w:t xml:space="preserve">                     </w:t>
      </w:r>
    </w:p>
    <w:p w14:paraId="676D2964">
      <w:pPr>
        <w:keepNext w:val="0"/>
        <w:keepLines w:val="0"/>
        <w:widowControl w:val="0"/>
        <w:suppressLineNumbers w:val="0"/>
        <w:spacing w:before="0" w:beforeAutospacing="0" w:after="0" w:afterAutospacing="0" w:line="360" w:lineRule="auto"/>
        <w:ind w:left="3570" w:leftChars="1650" w:right="0" w:hanging="105" w:hangingChars="50"/>
        <w:jc w:val="both"/>
        <w:rPr>
          <w:rFonts w:hint="eastAsia" w:ascii="宋体" w:hAnsi="宋体" w:eastAsia="宋体" w:cs="宋体"/>
          <w:kern w:val="2"/>
          <w:sz w:val="21"/>
          <w:szCs w:val="21"/>
          <w:u w:val="single"/>
        </w:rPr>
      </w:pPr>
      <w:r>
        <w:rPr>
          <w:rFonts w:hint="eastAsia" w:ascii="宋体" w:hAnsi="宋体" w:eastAsia="宋体" w:cs="宋体"/>
          <w:kern w:val="2"/>
          <w:sz w:val="21"/>
          <w:szCs w:val="21"/>
          <w:lang w:val="en-US" w:eastAsia="zh-CN" w:bidi="ar"/>
        </w:rPr>
        <w:t>日    期：</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年</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月</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日</w:t>
      </w:r>
    </w:p>
    <w:p w14:paraId="3CDCDAA1">
      <w:pPr>
        <w:pStyle w:val="6"/>
        <w:keepNext w:val="0"/>
        <w:keepLines w:val="0"/>
        <w:widowControl/>
        <w:numPr>
          <w:ilvl w:val="0"/>
          <w:numId w:val="8"/>
        </w:numPr>
        <w:suppressLineNumbers w:val="0"/>
        <w:spacing w:line="360" w:lineRule="auto"/>
        <w:ind w:left="1391" w:leftChars="0" w:hanging="341" w:firstLineChars="0"/>
        <w:outlineLvl w:val="1"/>
        <w:rPr>
          <w:rFonts w:hint="eastAsia" w:ascii="宋体" w:hAnsi="宋体" w:eastAsia="宋体" w:cs="宋体"/>
          <w:b/>
          <w:bCs/>
          <w:kern w:val="2"/>
          <w:sz w:val="24"/>
          <w:szCs w:val="24"/>
        </w:rPr>
      </w:pPr>
      <w:r>
        <w:rPr>
          <w:rFonts w:hint="eastAsia" w:ascii="宋体" w:hAnsi="宋体" w:eastAsia="宋体" w:cs="宋体"/>
          <w:kern w:val="2"/>
          <w:sz w:val="24"/>
          <w:szCs w:val="24"/>
          <w:u w:val="single"/>
        </w:rPr>
        <w:br w:type="page"/>
      </w:r>
      <w:r>
        <w:rPr>
          <w:rFonts w:hint="eastAsia" w:ascii="宋体" w:hAnsi="宋体" w:eastAsia="宋体" w:cs="宋体"/>
          <w:b/>
          <w:bCs/>
          <w:kern w:val="2"/>
          <w:sz w:val="24"/>
          <w:szCs w:val="24"/>
        </w:rPr>
        <w:t>法定代表人（负责人）证明书</w:t>
      </w:r>
    </w:p>
    <w:p w14:paraId="1A9499F3">
      <w:pPr>
        <w:pStyle w:val="6"/>
        <w:keepNext w:val="0"/>
        <w:keepLines w:val="0"/>
        <w:widowControl/>
        <w:suppressLineNumbers w:val="0"/>
        <w:jc w:val="center"/>
        <w:rPr>
          <w:rFonts w:hint="eastAsia" w:ascii="宋体" w:hAnsi="宋体" w:eastAsia="宋体" w:cs="宋体"/>
          <w:b/>
          <w:bCs/>
          <w:kern w:val="2"/>
          <w:sz w:val="21"/>
          <w:szCs w:val="21"/>
        </w:rPr>
      </w:pPr>
      <w:r>
        <w:rPr>
          <w:rFonts w:hint="eastAsia" w:ascii="宋体" w:hAnsi="宋体" w:eastAsia="宋体" w:cs="宋体"/>
          <w:b/>
          <w:bCs/>
          <w:kern w:val="2"/>
          <w:sz w:val="21"/>
          <w:szCs w:val="21"/>
        </w:rPr>
        <w:t xml:space="preserve"> </w:t>
      </w:r>
    </w:p>
    <w:p w14:paraId="503BEA4F">
      <w:pPr>
        <w:pStyle w:val="6"/>
        <w:keepNext w:val="0"/>
        <w:keepLines w:val="0"/>
        <w:widowControl/>
        <w:suppressLineNumbers w:val="0"/>
        <w:spacing w:line="360" w:lineRule="auto"/>
        <w:jc w:val="center"/>
        <w:rPr>
          <w:rFonts w:hint="eastAsia" w:ascii="宋体" w:hAnsi="宋体" w:eastAsia="宋体" w:cs="宋体"/>
          <w:b/>
          <w:bCs/>
          <w:kern w:val="2"/>
          <w:sz w:val="32"/>
          <w:szCs w:val="32"/>
        </w:rPr>
      </w:pPr>
      <w:r>
        <w:rPr>
          <w:rFonts w:hint="eastAsia" w:ascii="宋体" w:hAnsi="宋体" w:eastAsia="宋体" w:cs="宋体"/>
          <w:b/>
          <w:bCs/>
          <w:kern w:val="2"/>
          <w:sz w:val="32"/>
          <w:szCs w:val="32"/>
        </w:rPr>
        <w:t>法定代表人（负责人）证明书</w:t>
      </w:r>
    </w:p>
    <w:p w14:paraId="57C2BE1A">
      <w:pPr>
        <w:pStyle w:val="11"/>
        <w:keepNext w:val="0"/>
        <w:keepLines w:val="0"/>
        <w:widowControl/>
        <w:suppressLineNumbers w:val="0"/>
        <w:spacing w:before="0" w:beforeAutospacing="0" w:after="0" w:afterAutospacing="0" w:line="360" w:lineRule="auto"/>
        <w:ind w:left="0" w:right="0" w:firstLine="420" w:firstLineChars="200"/>
        <w:jc w:val="both"/>
        <w:rPr>
          <w:rFonts w:hint="eastAsia" w:ascii="宋体" w:hAnsi="宋体" w:eastAsia="宋体" w:cs="宋体"/>
          <w:bCs/>
          <w:kern w:val="2"/>
          <w:sz w:val="21"/>
          <w:szCs w:val="21"/>
          <w:u w:val="single"/>
        </w:rPr>
      </w:pPr>
      <w:r>
        <w:rPr>
          <w:rFonts w:hint="eastAsia" w:ascii="宋体" w:hAnsi="宋体" w:eastAsia="宋体" w:cs="宋体"/>
          <w:bCs/>
          <w:kern w:val="2"/>
          <w:sz w:val="21"/>
          <w:szCs w:val="21"/>
          <w:u w:val="single"/>
          <w:lang w:val="en-US" w:eastAsia="zh-CN" w:bidi="ar"/>
        </w:rPr>
        <w:t xml:space="preserve"> </w:t>
      </w:r>
    </w:p>
    <w:p w14:paraId="2CDA00D4">
      <w:pPr>
        <w:pStyle w:val="11"/>
        <w:keepNext w:val="0"/>
        <w:keepLines w:val="0"/>
        <w:widowControl/>
        <w:suppressLineNumbers w:val="0"/>
        <w:spacing w:before="0" w:beforeAutospacing="0" w:after="0" w:afterAutospacing="0" w:line="360" w:lineRule="auto"/>
        <w:ind w:left="0" w:right="0" w:firstLine="840" w:firstLineChars="400"/>
        <w:jc w:val="both"/>
        <w:rPr>
          <w:rFonts w:hint="eastAsia" w:ascii="宋体" w:hAnsi="宋体" w:eastAsia="宋体" w:cs="宋体"/>
          <w:bCs/>
          <w:kern w:val="2"/>
          <w:sz w:val="21"/>
          <w:szCs w:val="21"/>
        </w:rPr>
      </w:pPr>
      <w:r>
        <w:rPr>
          <w:rFonts w:hint="eastAsia" w:ascii="宋体" w:hAnsi="宋体" w:eastAsia="宋体" w:cs="宋体"/>
          <w:bCs/>
          <w:kern w:val="2"/>
          <w:sz w:val="21"/>
          <w:szCs w:val="21"/>
          <w:u w:val="single"/>
          <w:lang w:val="en-US" w:eastAsia="zh-CN" w:bidi="ar"/>
        </w:rPr>
        <w:t xml:space="preserve">        </w:t>
      </w:r>
      <w:r>
        <w:rPr>
          <w:rFonts w:hint="eastAsia" w:ascii="宋体" w:hAnsi="宋体" w:eastAsia="宋体" w:cs="宋体"/>
          <w:bCs/>
          <w:kern w:val="2"/>
          <w:sz w:val="21"/>
          <w:szCs w:val="21"/>
          <w:lang w:val="en-US" w:eastAsia="zh-CN" w:bidi="ar"/>
        </w:rPr>
        <w:t>现任我单位</w:t>
      </w:r>
      <w:r>
        <w:rPr>
          <w:rFonts w:hint="eastAsia" w:ascii="宋体" w:hAnsi="宋体" w:eastAsia="宋体" w:cs="宋体"/>
          <w:bCs/>
          <w:kern w:val="2"/>
          <w:sz w:val="21"/>
          <w:szCs w:val="21"/>
          <w:u w:val="single"/>
          <w:lang w:val="en-US" w:eastAsia="zh-CN" w:bidi="ar"/>
        </w:rPr>
        <w:t xml:space="preserve">                  </w:t>
      </w:r>
      <w:r>
        <w:rPr>
          <w:rFonts w:hint="eastAsia" w:ascii="宋体" w:hAnsi="宋体" w:eastAsia="宋体" w:cs="宋体"/>
          <w:bCs/>
          <w:kern w:val="2"/>
          <w:sz w:val="21"/>
          <w:szCs w:val="21"/>
          <w:lang w:val="en-US" w:eastAsia="zh-CN" w:bidi="ar"/>
        </w:rPr>
        <w:t xml:space="preserve"> 职务，为法定代表人（负责人），特此证明。</w:t>
      </w:r>
    </w:p>
    <w:p w14:paraId="2AD2C70C">
      <w:pPr>
        <w:pStyle w:val="11"/>
        <w:keepNext w:val="0"/>
        <w:keepLines w:val="0"/>
        <w:widowControl/>
        <w:suppressLineNumbers w:val="0"/>
        <w:spacing w:before="0" w:beforeAutospacing="0" w:after="0" w:afterAutospacing="0" w:line="360" w:lineRule="auto"/>
        <w:ind w:left="0" w:right="0" w:firstLine="420" w:firstLineChars="200"/>
        <w:jc w:val="both"/>
        <w:rPr>
          <w:rFonts w:hint="eastAsia" w:ascii="宋体" w:hAnsi="宋体" w:eastAsia="宋体" w:cs="宋体"/>
          <w:bCs/>
          <w:kern w:val="2"/>
          <w:sz w:val="21"/>
          <w:szCs w:val="21"/>
        </w:rPr>
      </w:pPr>
      <w:r>
        <w:rPr>
          <w:rFonts w:hint="eastAsia" w:ascii="宋体" w:hAnsi="宋体" w:eastAsia="宋体" w:cs="宋体"/>
          <w:bCs/>
          <w:kern w:val="2"/>
          <w:sz w:val="21"/>
          <w:szCs w:val="21"/>
          <w:lang w:val="en-US" w:eastAsia="zh-CN" w:bidi="ar"/>
        </w:rPr>
        <w:t>有效期限与本公司所提交的投标文件标注的招标有效期一致。签发日期：</w:t>
      </w:r>
      <w:r>
        <w:rPr>
          <w:rFonts w:hint="eastAsia" w:ascii="宋体" w:hAnsi="宋体" w:eastAsia="宋体" w:cs="宋体"/>
          <w:bCs/>
          <w:kern w:val="2"/>
          <w:sz w:val="21"/>
          <w:szCs w:val="21"/>
          <w:u w:val="single"/>
          <w:lang w:val="en-US" w:eastAsia="zh-CN" w:bidi="ar"/>
        </w:rPr>
        <w:t xml:space="preserve">     </w:t>
      </w:r>
      <w:r>
        <w:rPr>
          <w:rFonts w:hint="eastAsia" w:ascii="宋体" w:hAnsi="宋体" w:eastAsia="宋体" w:cs="宋体"/>
          <w:bCs/>
          <w:kern w:val="2"/>
          <w:sz w:val="21"/>
          <w:szCs w:val="21"/>
          <w:lang w:val="en-US" w:eastAsia="zh-CN" w:bidi="ar"/>
        </w:rPr>
        <w:t>年</w:t>
      </w:r>
      <w:r>
        <w:rPr>
          <w:rFonts w:hint="eastAsia" w:ascii="宋体" w:hAnsi="宋体" w:eastAsia="宋体" w:cs="宋体"/>
          <w:bCs/>
          <w:kern w:val="2"/>
          <w:sz w:val="21"/>
          <w:szCs w:val="21"/>
          <w:u w:val="single"/>
          <w:lang w:val="en-US" w:eastAsia="zh-CN" w:bidi="ar"/>
        </w:rPr>
        <w:t xml:space="preserve">     </w:t>
      </w:r>
      <w:r>
        <w:rPr>
          <w:rFonts w:hint="eastAsia" w:ascii="宋体" w:hAnsi="宋体" w:eastAsia="宋体" w:cs="宋体"/>
          <w:bCs/>
          <w:kern w:val="2"/>
          <w:sz w:val="21"/>
          <w:szCs w:val="21"/>
          <w:lang w:val="en-US" w:eastAsia="zh-CN" w:bidi="ar"/>
        </w:rPr>
        <w:t>月</w:t>
      </w:r>
      <w:r>
        <w:rPr>
          <w:rFonts w:hint="eastAsia" w:ascii="宋体" w:hAnsi="宋体" w:eastAsia="宋体" w:cs="宋体"/>
          <w:bCs/>
          <w:kern w:val="2"/>
          <w:sz w:val="21"/>
          <w:szCs w:val="21"/>
          <w:u w:val="single"/>
          <w:lang w:val="en-US" w:eastAsia="zh-CN" w:bidi="ar"/>
        </w:rPr>
        <w:t xml:space="preserve">    </w:t>
      </w:r>
      <w:r>
        <w:rPr>
          <w:rFonts w:hint="eastAsia" w:ascii="宋体" w:hAnsi="宋体" w:eastAsia="宋体" w:cs="宋体"/>
          <w:bCs/>
          <w:kern w:val="2"/>
          <w:sz w:val="21"/>
          <w:szCs w:val="21"/>
          <w:lang w:val="en-US" w:eastAsia="zh-CN" w:bidi="ar"/>
        </w:rPr>
        <w:t>日</w:t>
      </w:r>
    </w:p>
    <w:p w14:paraId="5912A5D1">
      <w:pPr>
        <w:pStyle w:val="11"/>
        <w:keepNext w:val="0"/>
        <w:keepLines w:val="0"/>
        <w:widowControl/>
        <w:suppressLineNumbers w:val="0"/>
        <w:spacing w:before="0" w:beforeAutospacing="0" w:after="0" w:afterAutospacing="0" w:line="360" w:lineRule="auto"/>
        <w:ind w:left="0" w:right="0" w:firstLine="420" w:firstLineChars="200"/>
        <w:jc w:val="both"/>
        <w:rPr>
          <w:rFonts w:hint="eastAsia" w:ascii="宋体" w:hAnsi="宋体" w:eastAsia="宋体" w:cs="宋体"/>
          <w:bCs/>
          <w:kern w:val="2"/>
          <w:sz w:val="21"/>
          <w:szCs w:val="21"/>
        </w:rPr>
      </w:pPr>
      <w:r>
        <w:rPr>
          <w:rFonts w:hint="eastAsia" w:ascii="宋体" w:hAnsi="宋体" w:eastAsia="宋体" w:cs="宋体"/>
          <w:bCs/>
          <w:kern w:val="2"/>
          <w:sz w:val="21"/>
          <w:szCs w:val="21"/>
          <w:lang w:val="en-US" w:eastAsia="zh-CN" w:bidi="ar"/>
        </w:rPr>
        <w:t>附：</w:t>
      </w:r>
    </w:p>
    <w:p w14:paraId="4774349A">
      <w:pPr>
        <w:pStyle w:val="11"/>
        <w:keepNext w:val="0"/>
        <w:keepLines w:val="0"/>
        <w:widowControl/>
        <w:suppressLineNumbers w:val="0"/>
        <w:spacing w:before="0" w:beforeAutospacing="0" w:after="0" w:afterAutospacing="0" w:line="360" w:lineRule="auto"/>
        <w:ind w:left="0" w:right="0" w:firstLine="420" w:firstLineChars="200"/>
        <w:jc w:val="both"/>
        <w:rPr>
          <w:rFonts w:hint="eastAsia" w:ascii="宋体" w:hAnsi="宋体" w:eastAsia="宋体" w:cs="宋体"/>
          <w:bCs/>
          <w:kern w:val="2"/>
          <w:sz w:val="21"/>
          <w:szCs w:val="21"/>
        </w:rPr>
      </w:pPr>
      <w:r>
        <w:rPr>
          <w:rFonts w:hint="eastAsia" w:ascii="宋体" w:hAnsi="宋体" w:eastAsia="宋体" w:cs="宋体"/>
          <w:bCs/>
          <w:kern w:val="2"/>
          <w:sz w:val="21"/>
          <w:szCs w:val="21"/>
          <w:lang w:val="en-US" w:eastAsia="zh-CN" w:bidi="ar"/>
        </w:rPr>
        <w:t>代表人性别：</w:t>
      </w:r>
      <w:r>
        <w:rPr>
          <w:rFonts w:hint="eastAsia" w:ascii="宋体" w:hAnsi="宋体" w:eastAsia="宋体" w:cs="宋体"/>
          <w:bCs/>
          <w:kern w:val="2"/>
          <w:sz w:val="21"/>
          <w:szCs w:val="21"/>
          <w:u w:val="single"/>
          <w:lang w:val="en-US" w:eastAsia="zh-CN" w:bidi="ar"/>
        </w:rPr>
        <w:t xml:space="preserve">      </w:t>
      </w:r>
      <w:r>
        <w:rPr>
          <w:rFonts w:hint="eastAsia" w:ascii="宋体" w:hAnsi="宋体" w:eastAsia="宋体" w:cs="宋体"/>
          <w:bCs/>
          <w:kern w:val="2"/>
          <w:sz w:val="21"/>
          <w:szCs w:val="21"/>
          <w:lang w:val="en-US" w:eastAsia="zh-CN" w:bidi="ar"/>
        </w:rPr>
        <w:t>年龄：</w:t>
      </w:r>
      <w:r>
        <w:rPr>
          <w:rFonts w:hint="eastAsia" w:ascii="宋体" w:hAnsi="宋体" w:eastAsia="宋体" w:cs="宋体"/>
          <w:bCs/>
          <w:kern w:val="2"/>
          <w:sz w:val="21"/>
          <w:szCs w:val="21"/>
          <w:u w:val="single"/>
          <w:lang w:val="en-US" w:eastAsia="zh-CN" w:bidi="ar"/>
        </w:rPr>
        <w:t xml:space="preserve">       </w:t>
      </w:r>
      <w:r>
        <w:rPr>
          <w:rFonts w:hint="eastAsia" w:ascii="宋体" w:hAnsi="宋体" w:eastAsia="宋体" w:cs="宋体"/>
          <w:bCs/>
          <w:kern w:val="2"/>
          <w:sz w:val="21"/>
          <w:szCs w:val="21"/>
          <w:lang w:val="en-US" w:eastAsia="zh-CN" w:bidi="ar"/>
        </w:rPr>
        <w:t>身份证号码：</w:t>
      </w:r>
      <w:r>
        <w:rPr>
          <w:rFonts w:hint="eastAsia" w:ascii="宋体" w:hAnsi="宋体" w:eastAsia="宋体" w:cs="宋体"/>
          <w:bCs/>
          <w:kern w:val="2"/>
          <w:sz w:val="21"/>
          <w:szCs w:val="21"/>
          <w:u w:val="single"/>
          <w:lang w:val="en-US" w:eastAsia="zh-CN" w:bidi="ar"/>
        </w:rPr>
        <w:t xml:space="preserve">                   </w:t>
      </w:r>
      <w:r>
        <w:rPr>
          <w:rFonts w:hint="eastAsia" w:ascii="宋体" w:hAnsi="宋体" w:eastAsia="宋体" w:cs="宋体"/>
          <w:bCs/>
          <w:kern w:val="2"/>
          <w:sz w:val="21"/>
          <w:szCs w:val="21"/>
          <w:lang w:val="en-US" w:eastAsia="zh-CN" w:bidi="ar"/>
        </w:rPr>
        <w:t xml:space="preserve"> </w:t>
      </w:r>
    </w:p>
    <w:p w14:paraId="070D085B">
      <w:pPr>
        <w:pStyle w:val="11"/>
        <w:keepNext w:val="0"/>
        <w:keepLines w:val="0"/>
        <w:widowControl/>
        <w:suppressLineNumbers w:val="0"/>
        <w:spacing w:before="0" w:beforeAutospacing="0" w:after="0" w:afterAutospacing="0" w:line="360" w:lineRule="auto"/>
        <w:ind w:left="0" w:right="0" w:firstLine="420" w:firstLineChars="200"/>
        <w:jc w:val="both"/>
        <w:rPr>
          <w:rFonts w:hint="eastAsia" w:ascii="宋体" w:hAnsi="宋体" w:eastAsia="宋体" w:cs="宋体"/>
          <w:bCs/>
          <w:kern w:val="2"/>
          <w:sz w:val="21"/>
          <w:szCs w:val="21"/>
        </w:rPr>
      </w:pPr>
      <w:r>
        <w:rPr>
          <w:rFonts w:hint="eastAsia" w:ascii="宋体" w:hAnsi="宋体" w:eastAsia="宋体" w:cs="宋体"/>
          <w:bCs/>
          <w:kern w:val="2"/>
          <w:sz w:val="21"/>
          <w:szCs w:val="21"/>
          <w:lang w:val="en-US" w:eastAsia="zh-CN" w:bidi="ar"/>
        </w:rPr>
        <w:t>营业执照注册号：</w:t>
      </w:r>
      <w:r>
        <w:rPr>
          <w:rFonts w:hint="eastAsia" w:ascii="宋体" w:hAnsi="宋体" w:eastAsia="宋体" w:cs="宋体"/>
          <w:bCs/>
          <w:kern w:val="2"/>
          <w:sz w:val="21"/>
          <w:szCs w:val="21"/>
          <w:u w:val="single"/>
          <w:lang w:val="en-US" w:eastAsia="zh-CN" w:bidi="ar"/>
        </w:rPr>
        <w:t xml:space="preserve">                       </w:t>
      </w:r>
      <w:r>
        <w:rPr>
          <w:rFonts w:hint="eastAsia" w:ascii="宋体" w:hAnsi="宋体" w:eastAsia="宋体" w:cs="宋体"/>
          <w:bCs/>
          <w:kern w:val="2"/>
          <w:sz w:val="21"/>
          <w:szCs w:val="21"/>
          <w:lang w:val="en-US" w:eastAsia="zh-CN" w:bidi="ar"/>
        </w:rPr>
        <w:t xml:space="preserve"> 企业类型：</w:t>
      </w:r>
      <w:r>
        <w:rPr>
          <w:rFonts w:hint="eastAsia" w:ascii="宋体" w:hAnsi="宋体" w:eastAsia="宋体" w:cs="宋体"/>
          <w:bCs/>
          <w:kern w:val="2"/>
          <w:sz w:val="21"/>
          <w:szCs w:val="21"/>
          <w:u w:val="single"/>
          <w:lang w:val="en-US" w:eastAsia="zh-CN" w:bidi="ar"/>
        </w:rPr>
        <w:t xml:space="preserve">                    </w:t>
      </w:r>
      <w:r>
        <w:rPr>
          <w:rFonts w:hint="eastAsia" w:ascii="宋体" w:hAnsi="宋体" w:eastAsia="宋体" w:cs="宋体"/>
          <w:bCs/>
          <w:kern w:val="2"/>
          <w:sz w:val="21"/>
          <w:szCs w:val="21"/>
          <w:lang w:val="en-US" w:eastAsia="zh-CN" w:bidi="ar"/>
        </w:rPr>
        <w:t xml:space="preserve"> </w:t>
      </w:r>
    </w:p>
    <w:p w14:paraId="5647C9D8">
      <w:pPr>
        <w:pStyle w:val="11"/>
        <w:keepNext w:val="0"/>
        <w:keepLines w:val="0"/>
        <w:widowControl/>
        <w:suppressLineNumbers w:val="0"/>
        <w:spacing w:before="0" w:beforeAutospacing="0" w:after="0" w:afterAutospacing="0" w:line="360" w:lineRule="auto"/>
        <w:ind w:left="0" w:right="0" w:firstLine="420" w:firstLineChars="200"/>
        <w:jc w:val="both"/>
        <w:rPr>
          <w:rFonts w:hint="eastAsia" w:ascii="宋体" w:hAnsi="宋体" w:eastAsia="宋体" w:cs="宋体"/>
          <w:b/>
          <w:bCs w:val="0"/>
          <w:kern w:val="2"/>
          <w:sz w:val="21"/>
          <w:szCs w:val="21"/>
          <w:u w:val="single"/>
        </w:rPr>
      </w:pPr>
      <w:r>
        <w:rPr>
          <w:rFonts w:hint="eastAsia" w:ascii="宋体" w:hAnsi="宋体" w:eastAsia="宋体" w:cs="宋体"/>
          <w:bCs/>
          <w:kern w:val="2"/>
          <w:sz w:val="21"/>
          <w:szCs w:val="21"/>
          <w:lang w:val="en-US" w:eastAsia="zh-CN" w:bidi="ar"/>
        </w:rPr>
        <w:t>经营范围：</w:t>
      </w:r>
      <w:r>
        <w:rPr>
          <w:rFonts w:hint="eastAsia" w:ascii="宋体" w:hAnsi="宋体" w:eastAsia="宋体" w:cs="宋体"/>
          <w:bCs/>
          <w:kern w:val="2"/>
          <w:sz w:val="21"/>
          <w:szCs w:val="21"/>
          <w:u w:val="single"/>
          <w:lang w:val="en-US" w:eastAsia="zh-CN" w:bidi="ar"/>
        </w:rPr>
        <w:t xml:space="preserve">     </w:t>
      </w:r>
      <w:r>
        <w:rPr>
          <w:rFonts w:hint="eastAsia" w:ascii="宋体" w:hAnsi="宋体" w:eastAsia="宋体" w:cs="宋体"/>
          <w:b/>
          <w:bCs w:val="0"/>
          <w:kern w:val="2"/>
          <w:sz w:val="21"/>
          <w:szCs w:val="21"/>
          <w:u w:val="single"/>
          <w:lang w:val="en-US" w:eastAsia="zh-CN" w:bidi="ar"/>
        </w:rPr>
        <w:t xml:space="preserve">                                                                     </w:t>
      </w:r>
    </w:p>
    <w:p w14:paraId="28AB42A0">
      <w:pPr>
        <w:pStyle w:val="11"/>
        <w:keepNext w:val="0"/>
        <w:keepLines w:val="0"/>
        <w:widowControl/>
        <w:suppressLineNumbers w:val="0"/>
        <w:spacing w:before="0" w:beforeAutospacing="0" w:after="0" w:afterAutospacing="0" w:line="360" w:lineRule="auto"/>
        <w:ind w:left="0" w:right="0" w:firstLine="422" w:firstLineChars="200"/>
        <w:jc w:val="both"/>
        <w:rPr>
          <w:rFonts w:hint="eastAsia" w:ascii="宋体" w:hAnsi="宋体" w:eastAsia="宋体" w:cs="宋体"/>
          <w:b/>
          <w:bCs w:val="0"/>
          <w:kern w:val="2"/>
          <w:sz w:val="21"/>
          <w:szCs w:val="21"/>
          <w:u w:val="single"/>
        </w:rPr>
      </w:pPr>
      <w:r>
        <w:rPr>
          <w:rFonts w:hint="eastAsia" w:ascii="宋体" w:hAnsi="宋体" w:eastAsia="宋体" w:cs="宋体"/>
          <w:b/>
          <w:bCs w:val="0"/>
          <w:kern w:val="2"/>
          <w:sz w:val="21"/>
          <w:szCs w:val="21"/>
          <w:u w:val="single"/>
          <w:lang w:val="en-US" w:eastAsia="zh-CN" w:bidi="ar"/>
        </w:rPr>
        <w:t xml:space="preserve">                                                                                    </w:t>
      </w:r>
    </w:p>
    <w:p w14:paraId="5673E398">
      <w:pPr>
        <w:pStyle w:val="11"/>
        <w:keepNext w:val="0"/>
        <w:keepLines w:val="0"/>
        <w:widowControl/>
        <w:suppressLineNumbers w:val="0"/>
        <w:spacing w:before="0" w:beforeAutospacing="0" w:after="0" w:afterAutospacing="0" w:line="360" w:lineRule="auto"/>
        <w:ind w:left="0" w:right="0" w:firstLine="422" w:firstLineChars="200"/>
        <w:jc w:val="both"/>
        <w:rPr>
          <w:rFonts w:hint="eastAsia" w:ascii="宋体" w:hAnsi="宋体" w:eastAsia="宋体" w:cs="宋体"/>
          <w:kern w:val="2"/>
          <w:sz w:val="21"/>
          <w:szCs w:val="21"/>
        </w:rPr>
      </w:pPr>
      <w:r>
        <w:rPr>
          <w:rFonts w:hint="eastAsia" w:ascii="宋体" w:hAnsi="宋体" w:eastAsia="宋体" w:cs="宋体"/>
          <w:b/>
          <w:bCs w:val="0"/>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w:t>
      </w:r>
    </w:p>
    <w:p w14:paraId="47DDFE1F">
      <w:pPr>
        <w:pStyle w:val="11"/>
        <w:keepNext w:val="0"/>
        <w:keepLines w:val="0"/>
        <w:widowControl/>
        <w:suppressLineNumbers w:val="0"/>
        <w:spacing w:before="0" w:beforeAutospacing="0" w:after="0" w:afterAutospacing="0" w:line="360" w:lineRule="auto"/>
        <w:ind w:left="0" w:right="0" w:firstLine="422" w:firstLineChars="200"/>
        <w:jc w:val="both"/>
        <w:rPr>
          <w:rFonts w:hint="eastAsia" w:ascii="宋体" w:hAnsi="宋体" w:eastAsia="宋体" w:cs="宋体"/>
          <w:b/>
          <w:bCs w:val="0"/>
          <w:kern w:val="2"/>
          <w:sz w:val="21"/>
          <w:szCs w:val="21"/>
        </w:rPr>
      </w:pPr>
      <w:r>
        <w:rPr>
          <w:rFonts w:hint="eastAsia" w:ascii="宋体" w:hAnsi="宋体" w:eastAsia="宋体" w:cs="宋体"/>
          <w:b/>
          <w:bCs w:val="0"/>
          <w:kern w:val="2"/>
          <w:sz w:val="21"/>
          <w:szCs w:val="21"/>
          <w:lang w:val="en-US" w:eastAsia="zh-CN" w:bidi="ar"/>
        </w:rPr>
        <w:t xml:space="preserve"> </w:t>
      </w:r>
    </w:p>
    <w:p w14:paraId="7B90457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附法定代表人（负责人）居民身份证正反面复印件 </w:t>
      </w:r>
    </w:p>
    <w:p w14:paraId="7BBE64C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93CEA9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0A5679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A0EC3C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422C26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8EDB61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B4B52F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01C16F4">
      <w:pPr>
        <w:pStyle w:val="11"/>
        <w:keepNext w:val="0"/>
        <w:keepLines w:val="0"/>
        <w:widowControl/>
        <w:suppressLineNumbers w:val="0"/>
        <w:spacing w:before="0" w:beforeAutospacing="0" w:after="0" w:afterAutospacing="0" w:line="360" w:lineRule="auto"/>
        <w:ind w:left="0" w:right="0" w:firstLine="422" w:firstLineChars="200"/>
        <w:jc w:val="both"/>
        <w:rPr>
          <w:rFonts w:hint="eastAsia" w:ascii="宋体" w:hAnsi="宋体" w:eastAsia="宋体" w:cs="宋体"/>
          <w:b/>
          <w:bCs w:val="0"/>
          <w:kern w:val="2"/>
          <w:sz w:val="21"/>
          <w:szCs w:val="21"/>
        </w:rPr>
      </w:pPr>
      <w:r>
        <w:rPr>
          <w:rFonts w:hint="eastAsia" w:ascii="宋体" w:hAnsi="宋体" w:eastAsia="宋体" w:cs="宋体"/>
          <w:b/>
          <w:bCs w:val="0"/>
          <w:kern w:val="2"/>
          <w:sz w:val="21"/>
          <w:szCs w:val="21"/>
          <w:lang w:val="en-US" w:eastAsia="zh-CN" w:bidi="ar"/>
        </w:rPr>
        <w:t xml:space="preserve"> </w:t>
      </w:r>
    </w:p>
    <w:p w14:paraId="61BF0379">
      <w:pPr>
        <w:keepNext w:val="0"/>
        <w:keepLines w:val="0"/>
        <w:widowControl w:val="0"/>
        <w:suppressLineNumbers w:val="0"/>
        <w:spacing w:before="0" w:beforeAutospacing="0" w:after="0" w:afterAutospacing="0" w:line="360" w:lineRule="auto"/>
        <w:ind w:left="3570" w:leftChars="50" w:right="0" w:hanging="3465" w:hangingChars="1650"/>
        <w:jc w:val="both"/>
        <w:rPr>
          <w:rFonts w:hint="eastAsia" w:ascii="宋体" w:hAnsi="宋体" w:eastAsia="宋体" w:cs="宋体"/>
          <w:kern w:val="2"/>
          <w:sz w:val="21"/>
          <w:szCs w:val="21"/>
          <w:u w:val="single"/>
        </w:rPr>
      </w:pPr>
      <w:r>
        <w:rPr>
          <w:rFonts w:hint="eastAsia" w:ascii="宋体" w:hAnsi="宋体" w:eastAsia="宋体" w:cs="宋体"/>
          <w:kern w:val="2"/>
          <w:sz w:val="21"/>
          <w:szCs w:val="21"/>
          <w:lang w:val="en-US" w:eastAsia="zh-CN" w:bidi="ar"/>
        </w:rPr>
        <w:t xml:space="preserve">                                投标供应商名称（盖公章）：</w:t>
      </w:r>
      <w:r>
        <w:rPr>
          <w:rFonts w:hint="eastAsia" w:ascii="宋体" w:hAnsi="宋体" w:eastAsia="宋体" w:cs="宋体"/>
          <w:kern w:val="2"/>
          <w:sz w:val="21"/>
          <w:szCs w:val="21"/>
          <w:u w:val="single"/>
          <w:lang w:val="en-US" w:eastAsia="zh-CN" w:bidi="ar"/>
        </w:rPr>
        <w:t xml:space="preserve">                             </w:t>
      </w:r>
    </w:p>
    <w:p w14:paraId="7330B2AB">
      <w:pPr>
        <w:keepNext w:val="0"/>
        <w:keepLines w:val="0"/>
        <w:widowControl w:val="0"/>
        <w:suppressLineNumbers w:val="0"/>
        <w:spacing w:before="0" w:beforeAutospacing="0" w:after="0" w:afterAutospacing="0" w:line="360" w:lineRule="auto"/>
        <w:ind w:left="3570" w:leftChars="1650" w:right="0" w:hanging="105" w:hangingChars="50"/>
        <w:jc w:val="both"/>
        <w:rPr>
          <w:rFonts w:hint="eastAsia" w:ascii="宋体" w:hAnsi="宋体" w:eastAsia="宋体" w:cs="宋体"/>
          <w:kern w:val="2"/>
          <w:sz w:val="21"/>
          <w:szCs w:val="21"/>
          <w:u w:val="single"/>
        </w:rPr>
      </w:pPr>
      <w:r>
        <w:rPr>
          <w:rFonts w:hint="eastAsia" w:ascii="宋体" w:hAnsi="宋体" w:eastAsia="宋体" w:cs="宋体"/>
          <w:kern w:val="2"/>
          <w:sz w:val="21"/>
          <w:szCs w:val="21"/>
          <w:lang w:val="en-US" w:eastAsia="zh-CN" w:bidi="ar"/>
        </w:rPr>
        <w:t>投标供应商授权代表（签字或盖章）：</w:t>
      </w:r>
      <w:r>
        <w:rPr>
          <w:rFonts w:hint="eastAsia" w:ascii="宋体" w:hAnsi="宋体" w:eastAsia="宋体" w:cs="宋体"/>
          <w:kern w:val="2"/>
          <w:sz w:val="21"/>
          <w:szCs w:val="21"/>
          <w:u w:val="single"/>
          <w:lang w:val="en-US" w:eastAsia="zh-CN" w:bidi="ar"/>
        </w:rPr>
        <w:t xml:space="preserve">                     </w:t>
      </w:r>
    </w:p>
    <w:p w14:paraId="500F1B16">
      <w:pPr>
        <w:keepNext w:val="0"/>
        <w:keepLines w:val="0"/>
        <w:widowControl w:val="0"/>
        <w:suppressLineNumbers w:val="0"/>
        <w:spacing w:before="0" w:beforeAutospacing="0" w:after="0" w:afterAutospacing="0" w:line="360" w:lineRule="auto"/>
        <w:ind w:left="0" w:right="0" w:firstLine="3465" w:firstLineChars="165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日    期：</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年</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月</w:t>
      </w:r>
      <w:r>
        <w:rPr>
          <w:rFonts w:hint="eastAsia" w:ascii="宋体" w:hAnsi="宋体" w:eastAsia="宋体" w:cs="宋体"/>
          <w:kern w:val="2"/>
          <w:sz w:val="21"/>
          <w:szCs w:val="21"/>
          <w:u w:val="single"/>
          <w:lang w:val="en-US" w:eastAsia="zh-CN" w:bidi="ar"/>
        </w:rPr>
        <w:t xml:space="preserve">     </w:t>
      </w:r>
      <w:r>
        <w:rPr>
          <w:rFonts w:hint="eastAsia" w:ascii="宋体" w:hAnsi="宋体" w:eastAsia="宋体" w:cs="宋体"/>
          <w:kern w:val="2"/>
          <w:sz w:val="21"/>
          <w:szCs w:val="21"/>
          <w:lang w:val="en-US" w:eastAsia="zh-CN" w:bidi="ar"/>
        </w:rPr>
        <w:t>日</w:t>
      </w:r>
    </w:p>
    <w:p w14:paraId="0B719F5B">
      <w:pPr>
        <w:keepNext w:val="0"/>
        <w:keepLines w:val="0"/>
        <w:widowControl w:val="0"/>
        <w:suppressLineNumbers w:val="0"/>
        <w:spacing w:before="0" w:beforeAutospacing="0" w:after="0" w:afterAutospacing="0" w:line="360" w:lineRule="auto"/>
        <w:ind w:left="2" w:right="0" w:firstLine="403" w:firstLineChars="192"/>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35A5E8F">
      <w:pPr>
        <w:pStyle w:val="6"/>
        <w:keepNext w:val="0"/>
        <w:keepLines w:val="0"/>
        <w:widowControl/>
        <w:numPr>
          <w:ilvl w:val="0"/>
          <w:numId w:val="8"/>
        </w:numPr>
        <w:suppressLineNumbers w:val="0"/>
        <w:spacing w:line="360" w:lineRule="auto"/>
        <w:ind w:left="1391" w:leftChars="0" w:hanging="341" w:firstLineChars="0"/>
        <w:outlineLvl w:val="1"/>
        <w:rPr>
          <w:rFonts w:hint="eastAsia" w:ascii="宋体" w:hAnsi="宋体" w:eastAsia="宋体" w:cs="宋体"/>
          <w:b/>
          <w:bCs/>
          <w:kern w:val="2"/>
          <w:sz w:val="24"/>
          <w:szCs w:val="24"/>
        </w:rPr>
      </w:pPr>
      <w:r>
        <w:rPr>
          <w:rFonts w:hint="eastAsia" w:ascii="宋体" w:hAnsi="宋体" w:eastAsia="宋体" w:cs="宋体"/>
          <w:b/>
          <w:bCs/>
          <w:kern w:val="2"/>
          <w:sz w:val="24"/>
          <w:szCs w:val="24"/>
        </w:rPr>
        <w:br w:type="page"/>
      </w:r>
      <w:r>
        <w:rPr>
          <w:rFonts w:hint="eastAsia" w:ascii="宋体" w:hAnsi="宋体" w:eastAsia="宋体" w:cs="宋体"/>
          <w:b/>
          <w:bCs/>
          <w:kern w:val="2"/>
          <w:sz w:val="24"/>
          <w:szCs w:val="24"/>
        </w:rPr>
        <w:t>商务要求响应表</w:t>
      </w:r>
    </w:p>
    <w:p w14:paraId="615428CE">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项目编号：</w:t>
      </w:r>
      <w:r>
        <w:rPr>
          <w:rFonts w:hint="eastAsia" w:ascii="宋体" w:hAnsi="宋体" w:eastAsia="宋体" w:cs="宋体"/>
          <w:kern w:val="2"/>
          <w:sz w:val="21"/>
          <w:szCs w:val="21"/>
          <w:u w:val="single"/>
          <w:lang w:val="en-US" w:eastAsia="zh-CN" w:bidi="ar"/>
        </w:rPr>
        <w:t>校内2025-27</w:t>
      </w:r>
      <w:r>
        <w:rPr>
          <w:rFonts w:hint="eastAsia" w:ascii="宋体" w:hAnsi="宋体" w:eastAsia="宋体" w:cs="宋体"/>
          <w:kern w:val="2"/>
          <w:sz w:val="21"/>
          <w:szCs w:val="21"/>
          <w:lang w:val="en-US" w:eastAsia="zh-CN" w:bidi="ar"/>
        </w:rPr>
        <w:t xml:space="preserve">                 </w:t>
      </w:r>
    </w:p>
    <w:p w14:paraId="4664C196">
      <w:pPr>
        <w:keepNext w:val="0"/>
        <w:keepLines w:val="0"/>
        <w:widowControl w:val="0"/>
        <w:suppressLineNumbers w:val="0"/>
        <w:spacing w:before="0" w:beforeAutospacing="0" w:after="0" w:afterAutospacing="0"/>
        <w:ind w:left="0" w:right="0"/>
        <w:jc w:val="both"/>
        <w:rPr>
          <w:rFonts w:hint="default" w:ascii="宋体" w:hAnsi="宋体" w:eastAsia="宋体" w:cs="宋体"/>
          <w:b/>
          <w:bCs/>
          <w:kern w:val="2"/>
          <w:sz w:val="30"/>
          <w:szCs w:val="30"/>
          <w:lang w:val="en-US"/>
        </w:rPr>
      </w:pPr>
      <w:r>
        <w:rPr>
          <w:rFonts w:hint="eastAsia" w:ascii="宋体" w:hAnsi="宋体" w:eastAsia="宋体" w:cs="宋体"/>
          <w:kern w:val="2"/>
          <w:sz w:val="21"/>
          <w:szCs w:val="21"/>
          <w:lang w:val="en-US" w:eastAsia="zh-CN" w:bidi="ar"/>
        </w:rPr>
        <w:t>项目名称：广州美术学院综合档案室气体灭火消防系统建设项目（三次）</w:t>
      </w:r>
    </w:p>
    <w:tbl>
      <w:tblPr>
        <w:tblStyle w:val="12"/>
        <w:tblW w:w="4997" w:type="pct"/>
        <w:tblInd w:w="7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Layout w:type="autofit"/>
        <w:tblCellMar>
          <w:top w:w="0" w:type="dxa"/>
          <w:left w:w="30" w:type="dxa"/>
          <w:bottom w:w="0" w:type="dxa"/>
          <w:right w:w="30" w:type="dxa"/>
        </w:tblCellMar>
      </w:tblPr>
      <w:tblGrid>
        <w:gridCol w:w="698"/>
        <w:gridCol w:w="2144"/>
        <w:gridCol w:w="1858"/>
        <w:gridCol w:w="1538"/>
        <w:gridCol w:w="1218"/>
        <w:gridCol w:w="905"/>
      </w:tblGrid>
      <w:tr w14:paraId="4A99040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30" w:type="dxa"/>
            <w:bottom w:w="0" w:type="dxa"/>
            <w:right w:w="30" w:type="dxa"/>
          </w:tblCellMar>
        </w:tblPrEx>
        <w:trPr>
          <w:trHeight w:val="732" w:hRule="atLeast"/>
        </w:trPr>
        <w:tc>
          <w:tcPr>
            <w:tcW w:w="417" w:type="pct"/>
            <w:tcBorders>
              <w:top w:val="single" w:color="auto" w:sz="12" w:space="0"/>
              <w:left w:val="single" w:color="auto" w:sz="12" w:space="0"/>
              <w:bottom w:val="single" w:color="auto" w:sz="2" w:space="0"/>
              <w:right w:val="single" w:color="auto" w:sz="2" w:space="0"/>
            </w:tcBorders>
            <w:shd w:val="clear" w:color="auto" w:fill="auto"/>
            <w:vAlign w:val="center"/>
          </w:tcPr>
          <w:p w14:paraId="5AD1B5F3">
            <w:pPr>
              <w:keepNext w:val="0"/>
              <w:keepLines w:val="0"/>
              <w:widowControl w:val="0"/>
              <w:suppressLineNumbers w:val="0"/>
              <w:autoSpaceDE w:val="0"/>
              <w:autoSpaceDN w:val="0"/>
              <w:adjustRightInd w:val="0"/>
              <w:spacing w:before="0" w:beforeAutospacing="0" w:after="0" w:afterAutospacing="0"/>
              <w:ind w:left="0" w:right="84" w:rightChars="4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序号</w:t>
            </w:r>
          </w:p>
        </w:tc>
        <w:tc>
          <w:tcPr>
            <w:tcW w:w="1281" w:type="pct"/>
            <w:tcBorders>
              <w:top w:val="single" w:color="auto" w:sz="12" w:space="0"/>
              <w:left w:val="nil"/>
              <w:bottom w:val="single" w:color="auto" w:sz="2" w:space="0"/>
              <w:right w:val="single" w:color="auto" w:sz="2" w:space="0"/>
            </w:tcBorders>
            <w:shd w:val="clear" w:color="auto" w:fill="auto"/>
            <w:vAlign w:val="center"/>
          </w:tcPr>
          <w:p w14:paraId="450465F4">
            <w:pPr>
              <w:keepNext w:val="0"/>
              <w:keepLines w:val="0"/>
              <w:widowControl w:val="0"/>
              <w:suppressLineNumbers w:val="0"/>
              <w:autoSpaceDE w:val="0"/>
              <w:autoSpaceDN w:val="0"/>
              <w:adjustRightInd w:val="0"/>
              <w:spacing w:before="0" w:beforeAutospacing="0" w:after="0" w:afterAutospacing="0"/>
              <w:ind w:left="0" w:right="84" w:rightChars="4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商务要求内容</w:t>
            </w:r>
          </w:p>
        </w:tc>
        <w:tc>
          <w:tcPr>
            <w:tcW w:w="1110" w:type="pct"/>
            <w:tcBorders>
              <w:top w:val="single" w:color="auto" w:sz="12" w:space="0"/>
              <w:left w:val="nil"/>
              <w:bottom w:val="single" w:color="auto" w:sz="2" w:space="0"/>
              <w:right w:val="single" w:color="auto" w:sz="2" w:space="0"/>
            </w:tcBorders>
            <w:shd w:val="clear" w:color="auto" w:fill="auto"/>
            <w:vAlign w:val="center"/>
          </w:tcPr>
          <w:p w14:paraId="37EBADC2">
            <w:pPr>
              <w:keepNext w:val="0"/>
              <w:keepLines w:val="0"/>
              <w:widowControl w:val="0"/>
              <w:suppressLineNumbers w:val="0"/>
              <w:autoSpaceDE w:val="0"/>
              <w:autoSpaceDN w:val="0"/>
              <w:adjustRightInd w:val="0"/>
              <w:spacing w:before="0" w:beforeAutospacing="0" w:after="0" w:afterAutospacing="0"/>
              <w:ind w:left="0" w:right="84" w:rightChars="4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响应详细内容</w:t>
            </w:r>
          </w:p>
        </w:tc>
        <w:tc>
          <w:tcPr>
            <w:tcW w:w="919" w:type="pct"/>
            <w:tcBorders>
              <w:top w:val="single" w:color="auto" w:sz="12" w:space="0"/>
              <w:left w:val="nil"/>
              <w:bottom w:val="single" w:color="auto" w:sz="2" w:space="0"/>
              <w:right w:val="single" w:color="auto" w:sz="2" w:space="0"/>
            </w:tcBorders>
            <w:shd w:val="clear" w:color="auto" w:fill="auto"/>
            <w:vAlign w:val="center"/>
          </w:tcPr>
          <w:p w14:paraId="2E2A3F00">
            <w:pPr>
              <w:keepNext w:val="0"/>
              <w:keepLines w:val="0"/>
              <w:widowControl w:val="0"/>
              <w:suppressLineNumbers w:val="0"/>
              <w:autoSpaceDE w:val="0"/>
              <w:autoSpaceDN w:val="0"/>
              <w:adjustRightInd w:val="0"/>
              <w:spacing w:before="0" w:beforeAutospacing="0" w:after="0" w:afterAutospacing="0"/>
              <w:ind w:left="0" w:right="84" w:rightChars="40"/>
              <w:jc w:val="center"/>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正/负/</w:t>
            </w:r>
            <w:r>
              <w:rPr>
                <w:rFonts w:hint="eastAsia" w:ascii="宋体" w:hAnsi="宋体" w:eastAsia="宋体" w:cs="宋体"/>
                <w:kern w:val="2"/>
                <w:sz w:val="21"/>
                <w:szCs w:val="21"/>
                <w:lang w:val="en-US" w:eastAsia="zh-CN" w:bidi="ar"/>
              </w:rPr>
              <w:t>无偏离</w:t>
            </w:r>
          </w:p>
        </w:tc>
        <w:tc>
          <w:tcPr>
            <w:tcW w:w="728" w:type="pct"/>
            <w:tcBorders>
              <w:top w:val="single" w:color="auto" w:sz="12" w:space="0"/>
              <w:left w:val="nil"/>
              <w:bottom w:val="single" w:color="auto" w:sz="2" w:space="0"/>
              <w:right w:val="single" w:color="auto" w:sz="2" w:space="0"/>
            </w:tcBorders>
            <w:shd w:val="clear" w:color="auto" w:fill="auto"/>
            <w:vAlign w:val="center"/>
          </w:tcPr>
          <w:p w14:paraId="1FF128D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偏离说明</w:t>
            </w:r>
          </w:p>
        </w:tc>
        <w:tc>
          <w:tcPr>
            <w:tcW w:w="541" w:type="pct"/>
            <w:tcBorders>
              <w:top w:val="single" w:color="auto" w:sz="12" w:space="0"/>
              <w:left w:val="nil"/>
              <w:bottom w:val="single" w:color="auto" w:sz="2" w:space="0"/>
              <w:right w:val="single" w:color="auto" w:sz="12" w:space="0"/>
            </w:tcBorders>
            <w:shd w:val="clear" w:color="auto" w:fill="auto"/>
            <w:vAlign w:val="center"/>
          </w:tcPr>
          <w:p w14:paraId="091FA9D7">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响应文件</w:t>
            </w:r>
          </w:p>
          <w:p w14:paraId="52DBE92F">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响应页码</w:t>
            </w:r>
          </w:p>
        </w:tc>
      </w:tr>
      <w:tr w14:paraId="5909DF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atLeast"/>
        </w:trPr>
        <w:tc>
          <w:tcPr>
            <w:tcW w:w="417" w:type="pct"/>
            <w:tcBorders>
              <w:top w:val="single" w:color="auto" w:sz="2" w:space="0"/>
              <w:left w:val="single" w:color="auto" w:sz="12" w:space="0"/>
              <w:bottom w:val="single" w:color="auto" w:sz="2" w:space="0"/>
              <w:right w:val="single" w:color="auto" w:sz="2" w:space="0"/>
            </w:tcBorders>
            <w:shd w:val="clear" w:color="auto" w:fill="auto"/>
            <w:vAlign w:val="center"/>
          </w:tcPr>
          <w:p w14:paraId="1AC27571">
            <w:pPr>
              <w:pStyle w:val="22"/>
              <w:keepNext w:val="0"/>
              <w:keepLines w:val="0"/>
              <w:widowControl w:val="0"/>
              <w:numPr>
                <w:ilvl w:val="0"/>
                <w:numId w:val="10"/>
              </w:numPr>
              <w:suppressLineNumbers w:val="0"/>
              <w:spacing w:line="271" w:lineRule="auto"/>
              <w:ind w:left="420" w:hanging="420" w:firstLineChars="0"/>
              <w:jc w:val="center"/>
              <w:rPr>
                <w:rFonts w:hint="eastAsia" w:ascii="宋体" w:hAnsi="宋体" w:eastAsia="宋体" w:cs="宋体"/>
                <w:kern w:val="2"/>
                <w:sz w:val="21"/>
                <w:szCs w:val="21"/>
              </w:rPr>
            </w:pPr>
          </w:p>
        </w:tc>
        <w:tc>
          <w:tcPr>
            <w:tcW w:w="1281" w:type="pct"/>
            <w:tcBorders>
              <w:top w:val="single" w:color="auto" w:sz="2" w:space="0"/>
              <w:left w:val="nil"/>
              <w:bottom w:val="single" w:color="auto" w:sz="2" w:space="0"/>
              <w:right w:val="single" w:color="auto" w:sz="2" w:space="0"/>
            </w:tcBorders>
            <w:shd w:val="clear" w:color="auto" w:fill="auto"/>
            <w:vAlign w:val="center"/>
          </w:tcPr>
          <w:p w14:paraId="30180B6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1"/>
                <w:szCs w:val="21"/>
              </w:rPr>
            </w:pPr>
          </w:p>
        </w:tc>
        <w:tc>
          <w:tcPr>
            <w:tcW w:w="1110" w:type="pct"/>
            <w:tcBorders>
              <w:top w:val="single" w:color="auto" w:sz="2" w:space="0"/>
              <w:left w:val="nil"/>
              <w:bottom w:val="single" w:color="auto" w:sz="2" w:space="0"/>
              <w:right w:val="single" w:color="auto" w:sz="2" w:space="0"/>
            </w:tcBorders>
            <w:shd w:val="clear" w:color="auto" w:fill="auto"/>
            <w:vAlign w:val="center"/>
          </w:tcPr>
          <w:p w14:paraId="07F973D0">
            <w:pPr>
              <w:keepNext w:val="0"/>
              <w:keepLines w:val="0"/>
              <w:widowControl w:val="0"/>
              <w:suppressLineNumbers w:val="0"/>
              <w:autoSpaceDE w:val="0"/>
              <w:autoSpaceDN w:val="0"/>
              <w:adjustRightInd w:val="0"/>
              <w:spacing w:before="0" w:beforeAutospacing="0" w:after="0" w:afterAutospacing="0" w:line="360" w:lineRule="auto"/>
              <w:ind w:left="0" w:right="84" w:rightChars="40"/>
              <w:jc w:val="both"/>
              <w:rPr>
                <w:rFonts w:hint="eastAsia" w:ascii="宋体" w:hAnsi="宋体" w:eastAsia="宋体" w:cs="宋体"/>
                <w:kern w:val="2"/>
                <w:sz w:val="21"/>
                <w:szCs w:val="21"/>
              </w:rPr>
            </w:pPr>
          </w:p>
        </w:tc>
        <w:tc>
          <w:tcPr>
            <w:tcW w:w="919" w:type="pct"/>
            <w:tcBorders>
              <w:top w:val="single" w:color="auto" w:sz="2" w:space="0"/>
              <w:left w:val="nil"/>
              <w:bottom w:val="single" w:color="auto" w:sz="2" w:space="0"/>
              <w:right w:val="single" w:color="auto" w:sz="2" w:space="0"/>
            </w:tcBorders>
            <w:shd w:val="clear" w:color="auto" w:fill="auto"/>
            <w:vAlign w:val="top"/>
          </w:tcPr>
          <w:p w14:paraId="2EE18497">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728" w:type="pct"/>
            <w:tcBorders>
              <w:top w:val="single" w:color="auto" w:sz="2" w:space="0"/>
              <w:left w:val="nil"/>
              <w:bottom w:val="single" w:color="auto" w:sz="2" w:space="0"/>
              <w:right w:val="single" w:color="auto" w:sz="2" w:space="0"/>
            </w:tcBorders>
            <w:shd w:val="clear" w:color="auto" w:fill="auto"/>
            <w:vAlign w:val="top"/>
          </w:tcPr>
          <w:p w14:paraId="0EF06D4E">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541" w:type="pct"/>
            <w:tcBorders>
              <w:top w:val="single" w:color="auto" w:sz="2" w:space="0"/>
              <w:left w:val="nil"/>
              <w:bottom w:val="single" w:color="auto" w:sz="2" w:space="0"/>
              <w:right w:val="single" w:color="auto" w:sz="12" w:space="0"/>
            </w:tcBorders>
            <w:shd w:val="clear" w:color="auto" w:fill="auto"/>
            <w:vAlign w:val="center"/>
          </w:tcPr>
          <w:p w14:paraId="287ABE76">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r>
      <w:tr w14:paraId="6517D5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atLeast"/>
        </w:trPr>
        <w:tc>
          <w:tcPr>
            <w:tcW w:w="417" w:type="pct"/>
            <w:tcBorders>
              <w:top w:val="single" w:color="auto" w:sz="2" w:space="0"/>
              <w:left w:val="single" w:color="auto" w:sz="12" w:space="0"/>
              <w:bottom w:val="single" w:color="auto" w:sz="2" w:space="0"/>
              <w:right w:val="single" w:color="auto" w:sz="2" w:space="0"/>
            </w:tcBorders>
            <w:shd w:val="clear" w:color="auto" w:fill="auto"/>
            <w:vAlign w:val="center"/>
          </w:tcPr>
          <w:p w14:paraId="5FEC8F5E">
            <w:pPr>
              <w:pStyle w:val="22"/>
              <w:keepNext w:val="0"/>
              <w:keepLines w:val="0"/>
              <w:widowControl w:val="0"/>
              <w:numPr>
                <w:ilvl w:val="0"/>
                <w:numId w:val="10"/>
              </w:numPr>
              <w:suppressLineNumbers w:val="0"/>
              <w:spacing w:line="271" w:lineRule="auto"/>
              <w:ind w:left="420" w:hanging="420" w:firstLineChars="0"/>
              <w:jc w:val="center"/>
              <w:rPr>
                <w:rFonts w:hint="eastAsia" w:ascii="宋体" w:hAnsi="宋体" w:eastAsia="宋体" w:cs="宋体"/>
                <w:kern w:val="2"/>
                <w:sz w:val="21"/>
                <w:szCs w:val="21"/>
              </w:rPr>
            </w:pPr>
          </w:p>
        </w:tc>
        <w:tc>
          <w:tcPr>
            <w:tcW w:w="1281" w:type="pct"/>
            <w:tcBorders>
              <w:top w:val="single" w:color="auto" w:sz="2" w:space="0"/>
              <w:left w:val="nil"/>
              <w:bottom w:val="single" w:color="auto" w:sz="2" w:space="0"/>
              <w:right w:val="single" w:color="auto" w:sz="2" w:space="0"/>
            </w:tcBorders>
            <w:shd w:val="clear" w:color="auto" w:fill="auto"/>
            <w:vAlign w:val="center"/>
          </w:tcPr>
          <w:p w14:paraId="3FD8B70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1"/>
                <w:szCs w:val="21"/>
              </w:rPr>
            </w:pPr>
          </w:p>
        </w:tc>
        <w:tc>
          <w:tcPr>
            <w:tcW w:w="1110" w:type="pct"/>
            <w:tcBorders>
              <w:top w:val="single" w:color="auto" w:sz="2" w:space="0"/>
              <w:left w:val="nil"/>
              <w:bottom w:val="single" w:color="auto" w:sz="2" w:space="0"/>
              <w:right w:val="single" w:color="auto" w:sz="2" w:space="0"/>
            </w:tcBorders>
            <w:shd w:val="clear" w:color="auto" w:fill="auto"/>
            <w:vAlign w:val="center"/>
          </w:tcPr>
          <w:p w14:paraId="046765C3">
            <w:pPr>
              <w:keepNext w:val="0"/>
              <w:keepLines w:val="0"/>
              <w:widowControl w:val="0"/>
              <w:suppressLineNumbers w:val="0"/>
              <w:autoSpaceDE w:val="0"/>
              <w:autoSpaceDN w:val="0"/>
              <w:adjustRightInd w:val="0"/>
              <w:spacing w:before="0" w:beforeAutospacing="0" w:after="0" w:afterAutospacing="0" w:line="360" w:lineRule="auto"/>
              <w:ind w:left="0" w:right="84" w:rightChars="40"/>
              <w:jc w:val="both"/>
              <w:rPr>
                <w:rFonts w:hint="eastAsia" w:ascii="宋体" w:hAnsi="宋体" w:eastAsia="宋体" w:cs="宋体"/>
                <w:kern w:val="2"/>
                <w:sz w:val="21"/>
                <w:szCs w:val="21"/>
              </w:rPr>
            </w:pPr>
          </w:p>
        </w:tc>
        <w:tc>
          <w:tcPr>
            <w:tcW w:w="919" w:type="pct"/>
            <w:tcBorders>
              <w:top w:val="single" w:color="auto" w:sz="2" w:space="0"/>
              <w:left w:val="nil"/>
              <w:bottom w:val="single" w:color="auto" w:sz="2" w:space="0"/>
              <w:right w:val="single" w:color="auto" w:sz="2" w:space="0"/>
            </w:tcBorders>
            <w:shd w:val="clear" w:color="auto" w:fill="auto"/>
            <w:vAlign w:val="top"/>
          </w:tcPr>
          <w:p w14:paraId="0C9DF9E9">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728" w:type="pct"/>
            <w:tcBorders>
              <w:top w:val="single" w:color="auto" w:sz="2" w:space="0"/>
              <w:left w:val="nil"/>
              <w:bottom w:val="single" w:color="auto" w:sz="2" w:space="0"/>
              <w:right w:val="single" w:color="auto" w:sz="2" w:space="0"/>
            </w:tcBorders>
            <w:shd w:val="clear" w:color="auto" w:fill="auto"/>
            <w:vAlign w:val="top"/>
          </w:tcPr>
          <w:p w14:paraId="0E2975CF">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541" w:type="pct"/>
            <w:tcBorders>
              <w:top w:val="single" w:color="auto" w:sz="2" w:space="0"/>
              <w:left w:val="nil"/>
              <w:bottom w:val="single" w:color="auto" w:sz="2" w:space="0"/>
              <w:right w:val="single" w:color="auto" w:sz="12" w:space="0"/>
            </w:tcBorders>
            <w:shd w:val="clear" w:color="auto" w:fill="auto"/>
            <w:vAlign w:val="center"/>
          </w:tcPr>
          <w:p w14:paraId="265DFBA4">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r>
      <w:tr w14:paraId="599EC1A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atLeast"/>
        </w:trPr>
        <w:tc>
          <w:tcPr>
            <w:tcW w:w="417" w:type="pct"/>
            <w:tcBorders>
              <w:top w:val="single" w:color="auto" w:sz="2" w:space="0"/>
              <w:left w:val="single" w:color="auto" w:sz="12" w:space="0"/>
              <w:bottom w:val="single" w:color="auto" w:sz="2" w:space="0"/>
              <w:right w:val="single" w:color="auto" w:sz="2" w:space="0"/>
            </w:tcBorders>
            <w:shd w:val="clear" w:color="auto" w:fill="auto"/>
            <w:vAlign w:val="center"/>
          </w:tcPr>
          <w:p w14:paraId="730B6B7E">
            <w:pPr>
              <w:pStyle w:val="22"/>
              <w:keepNext w:val="0"/>
              <w:keepLines w:val="0"/>
              <w:widowControl w:val="0"/>
              <w:numPr>
                <w:ilvl w:val="0"/>
                <w:numId w:val="10"/>
              </w:numPr>
              <w:suppressLineNumbers w:val="0"/>
              <w:spacing w:line="271" w:lineRule="auto"/>
              <w:ind w:left="420" w:hanging="420" w:firstLineChars="0"/>
              <w:jc w:val="center"/>
              <w:rPr>
                <w:rFonts w:hint="eastAsia" w:ascii="宋体" w:hAnsi="宋体" w:eastAsia="宋体" w:cs="宋体"/>
                <w:kern w:val="2"/>
                <w:sz w:val="21"/>
                <w:szCs w:val="21"/>
              </w:rPr>
            </w:pPr>
          </w:p>
        </w:tc>
        <w:tc>
          <w:tcPr>
            <w:tcW w:w="1281" w:type="pct"/>
            <w:tcBorders>
              <w:top w:val="single" w:color="auto" w:sz="2" w:space="0"/>
              <w:left w:val="nil"/>
              <w:bottom w:val="single" w:color="auto" w:sz="2" w:space="0"/>
              <w:right w:val="single" w:color="auto" w:sz="2" w:space="0"/>
            </w:tcBorders>
            <w:shd w:val="clear" w:color="auto" w:fill="auto"/>
            <w:vAlign w:val="center"/>
          </w:tcPr>
          <w:p w14:paraId="1E6AA7B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1"/>
                <w:szCs w:val="21"/>
              </w:rPr>
            </w:pPr>
          </w:p>
        </w:tc>
        <w:tc>
          <w:tcPr>
            <w:tcW w:w="1110" w:type="pct"/>
            <w:tcBorders>
              <w:top w:val="single" w:color="auto" w:sz="2" w:space="0"/>
              <w:left w:val="nil"/>
              <w:bottom w:val="single" w:color="auto" w:sz="2" w:space="0"/>
              <w:right w:val="single" w:color="auto" w:sz="2" w:space="0"/>
            </w:tcBorders>
            <w:shd w:val="clear" w:color="auto" w:fill="auto"/>
            <w:vAlign w:val="center"/>
          </w:tcPr>
          <w:p w14:paraId="67F2B09A">
            <w:pPr>
              <w:keepNext w:val="0"/>
              <w:keepLines w:val="0"/>
              <w:widowControl w:val="0"/>
              <w:suppressLineNumbers w:val="0"/>
              <w:autoSpaceDE w:val="0"/>
              <w:autoSpaceDN w:val="0"/>
              <w:adjustRightInd w:val="0"/>
              <w:spacing w:before="0" w:beforeAutospacing="0" w:after="0" w:afterAutospacing="0" w:line="360" w:lineRule="auto"/>
              <w:ind w:left="0" w:right="84" w:rightChars="40"/>
              <w:jc w:val="both"/>
              <w:rPr>
                <w:rFonts w:hint="eastAsia" w:ascii="宋体" w:hAnsi="宋体" w:eastAsia="宋体" w:cs="宋体"/>
                <w:kern w:val="2"/>
                <w:sz w:val="21"/>
                <w:szCs w:val="21"/>
              </w:rPr>
            </w:pPr>
          </w:p>
        </w:tc>
        <w:tc>
          <w:tcPr>
            <w:tcW w:w="919" w:type="pct"/>
            <w:tcBorders>
              <w:top w:val="single" w:color="auto" w:sz="2" w:space="0"/>
              <w:left w:val="nil"/>
              <w:bottom w:val="single" w:color="auto" w:sz="2" w:space="0"/>
              <w:right w:val="single" w:color="auto" w:sz="2" w:space="0"/>
            </w:tcBorders>
            <w:shd w:val="clear" w:color="auto" w:fill="auto"/>
            <w:vAlign w:val="top"/>
          </w:tcPr>
          <w:p w14:paraId="62BB7FCC">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728" w:type="pct"/>
            <w:tcBorders>
              <w:top w:val="single" w:color="auto" w:sz="2" w:space="0"/>
              <w:left w:val="nil"/>
              <w:bottom w:val="single" w:color="auto" w:sz="2" w:space="0"/>
              <w:right w:val="single" w:color="auto" w:sz="2" w:space="0"/>
            </w:tcBorders>
            <w:shd w:val="clear" w:color="auto" w:fill="auto"/>
            <w:vAlign w:val="top"/>
          </w:tcPr>
          <w:p w14:paraId="241EDF19">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541" w:type="pct"/>
            <w:tcBorders>
              <w:top w:val="single" w:color="auto" w:sz="2" w:space="0"/>
              <w:left w:val="nil"/>
              <w:bottom w:val="single" w:color="auto" w:sz="2" w:space="0"/>
              <w:right w:val="single" w:color="auto" w:sz="12" w:space="0"/>
            </w:tcBorders>
            <w:shd w:val="clear" w:color="auto" w:fill="auto"/>
            <w:vAlign w:val="center"/>
          </w:tcPr>
          <w:p w14:paraId="649DD575">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r>
      <w:tr w14:paraId="173AE2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atLeast"/>
        </w:trPr>
        <w:tc>
          <w:tcPr>
            <w:tcW w:w="417" w:type="pct"/>
            <w:tcBorders>
              <w:top w:val="single" w:color="auto" w:sz="2" w:space="0"/>
              <w:left w:val="single" w:color="auto" w:sz="12" w:space="0"/>
              <w:bottom w:val="single" w:color="auto" w:sz="2" w:space="0"/>
              <w:right w:val="single" w:color="auto" w:sz="2" w:space="0"/>
            </w:tcBorders>
            <w:shd w:val="clear" w:color="auto" w:fill="auto"/>
            <w:vAlign w:val="center"/>
          </w:tcPr>
          <w:p w14:paraId="3CD6C9D2">
            <w:pPr>
              <w:pStyle w:val="22"/>
              <w:keepNext w:val="0"/>
              <w:keepLines w:val="0"/>
              <w:widowControl w:val="0"/>
              <w:numPr>
                <w:ilvl w:val="0"/>
                <w:numId w:val="10"/>
              </w:numPr>
              <w:suppressLineNumbers w:val="0"/>
              <w:spacing w:line="271" w:lineRule="auto"/>
              <w:ind w:left="420" w:hanging="420" w:firstLineChars="0"/>
              <w:jc w:val="center"/>
              <w:rPr>
                <w:rFonts w:hint="eastAsia" w:ascii="宋体" w:hAnsi="宋体" w:eastAsia="宋体" w:cs="宋体"/>
                <w:kern w:val="2"/>
                <w:sz w:val="21"/>
                <w:szCs w:val="21"/>
              </w:rPr>
            </w:pPr>
          </w:p>
        </w:tc>
        <w:tc>
          <w:tcPr>
            <w:tcW w:w="1281" w:type="pct"/>
            <w:tcBorders>
              <w:top w:val="single" w:color="auto" w:sz="2" w:space="0"/>
              <w:left w:val="nil"/>
              <w:bottom w:val="single" w:color="auto" w:sz="2" w:space="0"/>
              <w:right w:val="single" w:color="auto" w:sz="2" w:space="0"/>
            </w:tcBorders>
            <w:shd w:val="clear" w:color="auto" w:fill="auto"/>
            <w:vAlign w:val="center"/>
          </w:tcPr>
          <w:p w14:paraId="18C4E62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1"/>
                <w:szCs w:val="21"/>
              </w:rPr>
            </w:pPr>
          </w:p>
        </w:tc>
        <w:tc>
          <w:tcPr>
            <w:tcW w:w="1110" w:type="pct"/>
            <w:tcBorders>
              <w:top w:val="single" w:color="auto" w:sz="2" w:space="0"/>
              <w:left w:val="nil"/>
              <w:bottom w:val="single" w:color="auto" w:sz="2" w:space="0"/>
              <w:right w:val="single" w:color="auto" w:sz="2" w:space="0"/>
            </w:tcBorders>
            <w:shd w:val="clear" w:color="auto" w:fill="auto"/>
            <w:vAlign w:val="center"/>
          </w:tcPr>
          <w:p w14:paraId="0375233B">
            <w:pPr>
              <w:keepNext w:val="0"/>
              <w:keepLines w:val="0"/>
              <w:widowControl w:val="0"/>
              <w:suppressLineNumbers w:val="0"/>
              <w:autoSpaceDE w:val="0"/>
              <w:autoSpaceDN w:val="0"/>
              <w:adjustRightInd w:val="0"/>
              <w:spacing w:before="0" w:beforeAutospacing="0" w:after="0" w:afterAutospacing="0" w:line="360" w:lineRule="auto"/>
              <w:ind w:left="0" w:right="84" w:rightChars="40"/>
              <w:jc w:val="both"/>
              <w:rPr>
                <w:rFonts w:hint="eastAsia" w:ascii="宋体" w:hAnsi="宋体" w:eastAsia="宋体" w:cs="宋体"/>
                <w:kern w:val="2"/>
                <w:sz w:val="21"/>
                <w:szCs w:val="21"/>
              </w:rPr>
            </w:pPr>
          </w:p>
        </w:tc>
        <w:tc>
          <w:tcPr>
            <w:tcW w:w="919" w:type="pct"/>
            <w:tcBorders>
              <w:top w:val="single" w:color="auto" w:sz="2" w:space="0"/>
              <w:left w:val="nil"/>
              <w:bottom w:val="single" w:color="auto" w:sz="2" w:space="0"/>
              <w:right w:val="single" w:color="auto" w:sz="2" w:space="0"/>
            </w:tcBorders>
            <w:shd w:val="clear" w:color="auto" w:fill="auto"/>
            <w:vAlign w:val="top"/>
          </w:tcPr>
          <w:p w14:paraId="5EC9EF7D">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728" w:type="pct"/>
            <w:tcBorders>
              <w:top w:val="single" w:color="auto" w:sz="2" w:space="0"/>
              <w:left w:val="nil"/>
              <w:bottom w:val="single" w:color="auto" w:sz="2" w:space="0"/>
              <w:right w:val="single" w:color="auto" w:sz="2" w:space="0"/>
            </w:tcBorders>
            <w:shd w:val="clear" w:color="auto" w:fill="auto"/>
            <w:vAlign w:val="top"/>
          </w:tcPr>
          <w:p w14:paraId="62741C6A">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541" w:type="pct"/>
            <w:tcBorders>
              <w:top w:val="single" w:color="auto" w:sz="2" w:space="0"/>
              <w:left w:val="nil"/>
              <w:bottom w:val="single" w:color="auto" w:sz="2" w:space="0"/>
              <w:right w:val="single" w:color="auto" w:sz="12" w:space="0"/>
            </w:tcBorders>
            <w:shd w:val="clear" w:color="auto" w:fill="auto"/>
            <w:vAlign w:val="center"/>
          </w:tcPr>
          <w:p w14:paraId="1CAB1A77">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r>
      <w:tr w14:paraId="3633544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atLeast"/>
        </w:trPr>
        <w:tc>
          <w:tcPr>
            <w:tcW w:w="417" w:type="pct"/>
            <w:tcBorders>
              <w:top w:val="single" w:color="auto" w:sz="2" w:space="0"/>
              <w:left w:val="single" w:color="auto" w:sz="12" w:space="0"/>
              <w:bottom w:val="single" w:color="auto" w:sz="12" w:space="0"/>
              <w:right w:val="single" w:color="auto" w:sz="2" w:space="0"/>
            </w:tcBorders>
            <w:shd w:val="clear" w:color="auto" w:fill="auto"/>
            <w:vAlign w:val="center"/>
          </w:tcPr>
          <w:p w14:paraId="57FC914D">
            <w:pPr>
              <w:pStyle w:val="22"/>
              <w:keepNext w:val="0"/>
              <w:keepLines w:val="0"/>
              <w:widowControl w:val="0"/>
              <w:numPr>
                <w:ilvl w:val="0"/>
                <w:numId w:val="10"/>
              </w:numPr>
              <w:suppressLineNumbers w:val="0"/>
              <w:spacing w:line="271" w:lineRule="auto"/>
              <w:ind w:left="420" w:hanging="420" w:firstLineChars="0"/>
              <w:jc w:val="center"/>
              <w:rPr>
                <w:rFonts w:hint="eastAsia" w:ascii="宋体" w:hAnsi="宋体" w:eastAsia="宋体" w:cs="宋体"/>
                <w:kern w:val="2"/>
                <w:sz w:val="21"/>
                <w:szCs w:val="21"/>
              </w:rPr>
            </w:pPr>
          </w:p>
        </w:tc>
        <w:tc>
          <w:tcPr>
            <w:tcW w:w="1281" w:type="pct"/>
            <w:tcBorders>
              <w:top w:val="single" w:color="auto" w:sz="2" w:space="0"/>
              <w:left w:val="nil"/>
              <w:bottom w:val="single" w:color="auto" w:sz="12" w:space="0"/>
              <w:right w:val="single" w:color="auto" w:sz="2" w:space="0"/>
            </w:tcBorders>
            <w:shd w:val="clear" w:color="auto" w:fill="auto"/>
            <w:vAlign w:val="center"/>
          </w:tcPr>
          <w:p w14:paraId="39FAB810">
            <w:pPr>
              <w:keepNext w:val="0"/>
              <w:keepLines w:val="0"/>
              <w:widowControl w:val="0"/>
              <w:suppressLineNumbers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1110" w:type="pct"/>
            <w:tcBorders>
              <w:top w:val="single" w:color="auto" w:sz="2" w:space="0"/>
              <w:left w:val="nil"/>
              <w:bottom w:val="single" w:color="auto" w:sz="12" w:space="0"/>
              <w:right w:val="single" w:color="auto" w:sz="2" w:space="0"/>
            </w:tcBorders>
            <w:shd w:val="clear" w:color="auto" w:fill="auto"/>
            <w:vAlign w:val="center"/>
          </w:tcPr>
          <w:p w14:paraId="473A8DD8">
            <w:pPr>
              <w:keepNext w:val="0"/>
              <w:keepLines w:val="0"/>
              <w:widowControl w:val="0"/>
              <w:suppressLineNumbers w:val="0"/>
              <w:autoSpaceDE w:val="0"/>
              <w:autoSpaceDN w:val="0"/>
              <w:adjustRightInd w:val="0"/>
              <w:spacing w:before="0" w:beforeAutospacing="0" w:after="0" w:afterAutospacing="0" w:line="360" w:lineRule="auto"/>
              <w:ind w:left="0" w:right="84" w:rightChars="40"/>
              <w:jc w:val="both"/>
              <w:rPr>
                <w:rFonts w:hint="eastAsia" w:ascii="宋体" w:hAnsi="宋体" w:eastAsia="宋体" w:cs="宋体"/>
                <w:kern w:val="2"/>
                <w:sz w:val="21"/>
                <w:szCs w:val="21"/>
              </w:rPr>
            </w:pPr>
          </w:p>
        </w:tc>
        <w:tc>
          <w:tcPr>
            <w:tcW w:w="919" w:type="pct"/>
            <w:tcBorders>
              <w:top w:val="single" w:color="auto" w:sz="2" w:space="0"/>
              <w:left w:val="nil"/>
              <w:bottom w:val="single" w:color="auto" w:sz="12" w:space="0"/>
              <w:right w:val="single" w:color="auto" w:sz="2" w:space="0"/>
            </w:tcBorders>
            <w:shd w:val="clear" w:color="auto" w:fill="auto"/>
            <w:vAlign w:val="top"/>
          </w:tcPr>
          <w:p w14:paraId="6CA0C6F4">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728" w:type="pct"/>
            <w:tcBorders>
              <w:top w:val="single" w:color="auto" w:sz="2" w:space="0"/>
              <w:left w:val="nil"/>
              <w:bottom w:val="single" w:color="auto" w:sz="12" w:space="0"/>
              <w:right w:val="single" w:color="auto" w:sz="2" w:space="0"/>
            </w:tcBorders>
            <w:shd w:val="clear" w:color="auto" w:fill="auto"/>
            <w:vAlign w:val="top"/>
          </w:tcPr>
          <w:p w14:paraId="7A384483">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541" w:type="pct"/>
            <w:tcBorders>
              <w:top w:val="single" w:color="auto" w:sz="2" w:space="0"/>
              <w:left w:val="nil"/>
              <w:bottom w:val="single" w:color="auto" w:sz="12" w:space="0"/>
              <w:right w:val="single" w:color="auto" w:sz="12" w:space="0"/>
            </w:tcBorders>
            <w:shd w:val="clear" w:color="auto" w:fill="auto"/>
            <w:vAlign w:val="center"/>
          </w:tcPr>
          <w:p w14:paraId="74B850D0">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r>
    </w:tbl>
    <w:p w14:paraId="1DCFF96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1"/>
          <w:szCs w:val="21"/>
        </w:rPr>
      </w:pPr>
      <w:r>
        <w:rPr>
          <w:rFonts w:hint="eastAsia" w:ascii="宋体" w:hAnsi="宋体" w:eastAsia="宋体" w:cs="宋体"/>
          <w:kern w:val="2"/>
          <w:sz w:val="21"/>
          <w:szCs w:val="21"/>
          <w:lang w:val="en-US" w:eastAsia="zh-CN" w:bidi="ar"/>
        </w:rPr>
        <w:t>备注：本表根据招标文件用户需求书的“商务要求”，除带“</w:t>
      </w:r>
      <w:r>
        <w:rPr>
          <w:rFonts w:hint="eastAsia" w:ascii="宋体" w:hAnsi="宋体" w:eastAsia="宋体" w:cs="宋体"/>
          <w:b/>
          <w:bCs w:val="0"/>
          <w:kern w:val="2"/>
          <w:sz w:val="21"/>
          <w:szCs w:val="21"/>
          <w:lang w:val="en-US" w:eastAsia="zh-CN" w:bidi="ar"/>
        </w:rPr>
        <w:t>★</w:t>
      </w:r>
      <w:r>
        <w:rPr>
          <w:rFonts w:hint="eastAsia" w:ascii="宋体" w:hAnsi="宋体" w:eastAsia="宋体" w:cs="宋体"/>
          <w:kern w:val="2"/>
          <w:sz w:val="21"/>
          <w:szCs w:val="21"/>
          <w:lang w:val="en-US" w:eastAsia="zh-CN" w:bidi="ar"/>
        </w:rPr>
        <w:t>”条款之外，响应供应商须逐条详细响应并作出标注</w:t>
      </w:r>
      <w:r>
        <w:rPr>
          <w:rFonts w:hint="eastAsia" w:ascii="宋体" w:hAnsi="宋体" w:eastAsia="宋体" w:cs="宋体"/>
          <w:b/>
          <w:bCs w:val="0"/>
          <w:kern w:val="2"/>
          <w:sz w:val="21"/>
          <w:szCs w:val="21"/>
          <w:lang w:val="en-US" w:eastAsia="zh-CN" w:bidi="ar"/>
        </w:rPr>
        <w:t>“正偏离/负偏离/无偏离”</w:t>
      </w:r>
      <w:r>
        <w:rPr>
          <w:rFonts w:hint="eastAsia" w:ascii="宋体" w:hAnsi="宋体" w:eastAsia="宋体" w:cs="宋体"/>
          <w:kern w:val="2"/>
          <w:sz w:val="21"/>
          <w:szCs w:val="21"/>
          <w:lang w:val="en-US" w:eastAsia="zh-CN" w:bidi="ar"/>
        </w:rPr>
        <w:t>，“</w:t>
      </w:r>
      <w:r>
        <w:rPr>
          <w:rFonts w:hint="eastAsia" w:ascii="宋体" w:hAnsi="宋体" w:eastAsia="宋体" w:cs="宋体"/>
          <w:b/>
          <w:bCs w:val="0"/>
          <w:kern w:val="2"/>
          <w:sz w:val="21"/>
          <w:szCs w:val="21"/>
          <w:lang w:val="en-US" w:eastAsia="zh-CN" w:bidi="ar"/>
        </w:rPr>
        <w:t>正/负偏离</w:t>
      </w:r>
      <w:r>
        <w:rPr>
          <w:rFonts w:hint="eastAsia" w:ascii="宋体" w:hAnsi="宋体" w:eastAsia="宋体" w:cs="宋体"/>
          <w:kern w:val="2"/>
          <w:sz w:val="21"/>
          <w:szCs w:val="21"/>
          <w:lang w:val="en-US" w:eastAsia="zh-CN" w:bidi="ar"/>
        </w:rPr>
        <w:t>”的请在偏离说明栏目中具体说明及填写页码。</w:t>
      </w:r>
    </w:p>
    <w:p w14:paraId="40B8EE61">
      <w:pPr>
        <w:pStyle w:val="6"/>
        <w:keepNext w:val="0"/>
        <w:keepLines w:val="0"/>
        <w:widowControl/>
        <w:suppressLineNumbers w:val="0"/>
        <w:spacing w:line="360" w:lineRule="auto"/>
        <w:jc w:val="both"/>
        <w:rPr>
          <w:rFonts w:hint="eastAsia" w:ascii="宋体" w:hAnsi="宋体" w:eastAsia="宋体" w:cs="宋体"/>
          <w:b/>
          <w:bCs/>
          <w:kern w:val="2"/>
          <w:sz w:val="30"/>
          <w:szCs w:val="30"/>
        </w:rPr>
      </w:pPr>
      <w:r>
        <w:rPr>
          <w:rFonts w:hint="eastAsia" w:ascii="宋体" w:hAnsi="宋体" w:eastAsia="宋体" w:cs="宋体"/>
          <w:b/>
          <w:bCs/>
          <w:kern w:val="2"/>
          <w:sz w:val="24"/>
          <w:szCs w:val="24"/>
        </w:rPr>
        <w:t xml:space="preserve">格式5技术要求响应表 </w:t>
      </w:r>
    </w:p>
    <w:p w14:paraId="37F72246">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项目编号：</w:t>
      </w:r>
      <w:r>
        <w:rPr>
          <w:rFonts w:hint="eastAsia" w:ascii="宋体" w:hAnsi="宋体" w:eastAsia="宋体" w:cs="宋体"/>
          <w:kern w:val="2"/>
          <w:sz w:val="21"/>
          <w:szCs w:val="21"/>
          <w:u w:val="single"/>
          <w:lang w:val="en-US" w:eastAsia="zh-CN" w:bidi="ar"/>
        </w:rPr>
        <w:t>校内2025-27</w:t>
      </w:r>
      <w:r>
        <w:rPr>
          <w:rFonts w:hint="eastAsia" w:ascii="宋体" w:hAnsi="宋体" w:eastAsia="宋体" w:cs="宋体"/>
          <w:kern w:val="2"/>
          <w:sz w:val="21"/>
          <w:szCs w:val="21"/>
          <w:lang w:val="en-US" w:eastAsia="zh-CN" w:bidi="ar"/>
        </w:rPr>
        <w:t xml:space="preserve">                 </w:t>
      </w:r>
    </w:p>
    <w:p w14:paraId="7A09CCA1">
      <w:pPr>
        <w:keepNext w:val="0"/>
        <w:keepLines w:val="0"/>
        <w:widowControl w:val="0"/>
        <w:suppressLineNumbers w:val="0"/>
        <w:spacing w:before="0" w:beforeAutospacing="0" w:after="0" w:afterAutospacing="0"/>
        <w:ind w:left="0" w:right="0"/>
        <w:jc w:val="both"/>
        <w:rPr>
          <w:rFonts w:hint="eastAsia" w:ascii="宋体" w:hAnsi="宋体" w:eastAsia="宋体" w:cs="宋体"/>
          <w:b/>
          <w:bCs/>
          <w:kern w:val="2"/>
          <w:sz w:val="30"/>
          <w:szCs w:val="30"/>
        </w:rPr>
      </w:pPr>
      <w:r>
        <w:rPr>
          <w:rFonts w:hint="eastAsia" w:ascii="宋体" w:hAnsi="宋体" w:eastAsia="宋体" w:cs="宋体"/>
          <w:kern w:val="2"/>
          <w:sz w:val="21"/>
          <w:szCs w:val="21"/>
          <w:lang w:val="en-US" w:eastAsia="zh-CN" w:bidi="ar"/>
        </w:rPr>
        <w:t>项目名称：广州美术学院综合档案室气体灭火消防系统建设项目</w:t>
      </w:r>
    </w:p>
    <w:tbl>
      <w:tblPr>
        <w:tblStyle w:val="12"/>
        <w:tblW w:w="4997"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Layout w:type="autofit"/>
        <w:tblCellMar>
          <w:top w:w="0" w:type="dxa"/>
          <w:left w:w="30" w:type="dxa"/>
          <w:bottom w:w="0" w:type="dxa"/>
          <w:right w:w="30" w:type="dxa"/>
        </w:tblCellMar>
      </w:tblPr>
      <w:tblGrid>
        <w:gridCol w:w="698"/>
        <w:gridCol w:w="2144"/>
        <w:gridCol w:w="1858"/>
        <w:gridCol w:w="1538"/>
        <w:gridCol w:w="1218"/>
        <w:gridCol w:w="905"/>
      </w:tblGrid>
      <w:tr w14:paraId="687169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30" w:type="dxa"/>
            <w:bottom w:w="0" w:type="dxa"/>
            <w:right w:w="30" w:type="dxa"/>
          </w:tblCellMar>
        </w:tblPrEx>
        <w:trPr>
          <w:trHeight w:val="732" w:hRule="atLeast"/>
          <w:jc w:val="center"/>
        </w:trPr>
        <w:tc>
          <w:tcPr>
            <w:tcW w:w="417" w:type="pct"/>
            <w:tcBorders>
              <w:top w:val="single" w:color="auto" w:sz="12" w:space="0"/>
              <w:left w:val="single" w:color="auto" w:sz="12" w:space="0"/>
              <w:bottom w:val="single" w:color="auto" w:sz="2" w:space="0"/>
              <w:right w:val="single" w:color="auto" w:sz="2" w:space="0"/>
            </w:tcBorders>
            <w:shd w:val="clear" w:color="auto" w:fill="auto"/>
            <w:vAlign w:val="center"/>
          </w:tcPr>
          <w:p w14:paraId="38FC1A7E">
            <w:pPr>
              <w:keepNext w:val="0"/>
              <w:keepLines w:val="0"/>
              <w:widowControl w:val="0"/>
              <w:suppressLineNumbers w:val="0"/>
              <w:autoSpaceDE w:val="0"/>
              <w:autoSpaceDN w:val="0"/>
              <w:adjustRightInd w:val="0"/>
              <w:spacing w:before="0" w:beforeAutospacing="0" w:after="0" w:afterAutospacing="0"/>
              <w:ind w:left="0" w:right="84" w:rightChars="4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序号</w:t>
            </w:r>
          </w:p>
        </w:tc>
        <w:tc>
          <w:tcPr>
            <w:tcW w:w="1281" w:type="pct"/>
            <w:tcBorders>
              <w:top w:val="single" w:color="auto" w:sz="12" w:space="0"/>
              <w:left w:val="nil"/>
              <w:bottom w:val="single" w:color="auto" w:sz="2" w:space="0"/>
              <w:right w:val="single" w:color="auto" w:sz="2" w:space="0"/>
            </w:tcBorders>
            <w:shd w:val="clear" w:color="auto" w:fill="auto"/>
            <w:vAlign w:val="center"/>
          </w:tcPr>
          <w:p w14:paraId="58D59579">
            <w:pPr>
              <w:keepNext w:val="0"/>
              <w:keepLines w:val="0"/>
              <w:widowControl w:val="0"/>
              <w:suppressLineNumbers w:val="0"/>
              <w:autoSpaceDE w:val="0"/>
              <w:autoSpaceDN w:val="0"/>
              <w:adjustRightInd w:val="0"/>
              <w:spacing w:before="0" w:beforeAutospacing="0" w:after="0" w:afterAutospacing="0"/>
              <w:ind w:left="0" w:right="84" w:rightChars="4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技术要求内容</w:t>
            </w:r>
          </w:p>
        </w:tc>
        <w:tc>
          <w:tcPr>
            <w:tcW w:w="1110" w:type="pct"/>
            <w:tcBorders>
              <w:top w:val="single" w:color="auto" w:sz="12" w:space="0"/>
              <w:left w:val="nil"/>
              <w:bottom w:val="single" w:color="auto" w:sz="2" w:space="0"/>
              <w:right w:val="single" w:color="auto" w:sz="2" w:space="0"/>
            </w:tcBorders>
            <w:shd w:val="clear" w:color="auto" w:fill="auto"/>
            <w:vAlign w:val="center"/>
          </w:tcPr>
          <w:p w14:paraId="286655C6">
            <w:pPr>
              <w:keepNext w:val="0"/>
              <w:keepLines w:val="0"/>
              <w:widowControl w:val="0"/>
              <w:suppressLineNumbers w:val="0"/>
              <w:autoSpaceDE w:val="0"/>
              <w:autoSpaceDN w:val="0"/>
              <w:adjustRightInd w:val="0"/>
              <w:spacing w:before="0" w:beforeAutospacing="0" w:after="0" w:afterAutospacing="0"/>
              <w:ind w:left="0" w:right="84" w:rightChars="4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响应详细内容</w:t>
            </w:r>
          </w:p>
        </w:tc>
        <w:tc>
          <w:tcPr>
            <w:tcW w:w="919" w:type="pct"/>
            <w:tcBorders>
              <w:top w:val="single" w:color="auto" w:sz="12" w:space="0"/>
              <w:left w:val="nil"/>
              <w:bottom w:val="single" w:color="auto" w:sz="2" w:space="0"/>
              <w:right w:val="single" w:color="auto" w:sz="2" w:space="0"/>
            </w:tcBorders>
            <w:shd w:val="clear" w:color="auto" w:fill="auto"/>
            <w:vAlign w:val="center"/>
          </w:tcPr>
          <w:p w14:paraId="3E3FD203">
            <w:pPr>
              <w:keepNext w:val="0"/>
              <w:keepLines w:val="0"/>
              <w:widowControl w:val="0"/>
              <w:suppressLineNumbers w:val="0"/>
              <w:autoSpaceDE w:val="0"/>
              <w:autoSpaceDN w:val="0"/>
              <w:adjustRightInd w:val="0"/>
              <w:spacing w:before="0" w:beforeAutospacing="0" w:after="0" w:afterAutospacing="0"/>
              <w:ind w:left="0" w:right="84" w:rightChars="40"/>
              <w:jc w:val="center"/>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正/负/</w:t>
            </w:r>
            <w:r>
              <w:rPr>
                <w:rFonts w:hint="eastAsia" w:ascii="宋体" w:hAnsi="宋体" w:eastAsia="宋体" w:cs="宋体"/>
                <w:kern w:val="2"/>
                <w:sz w:val="21"/>
                <w:szCs w:val="21"/>
                <w:lang w:val="en-US" w:eastAsia="zh-CN" w:bidi="ar"/>
              </w:rPr>
              <w:t>无偏离</w:t>
            </w:r>
          </w:p>
        </w:tc>
        <w:tc>
          <w:tcPr>
            <w:tcW w:w="728" w:type="pct"/>
            <w:tcBorders>
              <w:top w:val="single" w:color="auto" w:sz="12" w:space="0"/>
              <w:left w:val="nil"/>
              <w:bottom w:val="single" w:color="auto" w:sz="2" w:space="0"/>
              <w:right w:val="single" w:color="auto" w:sz="2" w:space="0"/>
            </w:tcBorders>
            <w:shd w:val="clear" w:color="auto" w:fill="auto"/>
            <w:vAlign w:val="center"/>
          </w:tcPr>
          <w:p w14:paraId="6EA77B7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偏离说明</w:t>
            </w:r>
          </w:p>
        </w:tc>
        <w:tc>
          <w:tcPr>
            <w:tcW w:w="541" w:type="pct"/>
            <w:tcBorders>
              <w:top w:val="single" w:color="auto" w:sz="12" w:space="0"/>
              <w:left w:val="nil"/>
              <w:bottom w:val="single" w:color="auto" w:sz="2" w:space="0"/>
              <w:right w:val="single" w:color="auto" w:sz="12" w:space="0"/>
            </w:tcBorders>
            <w:shd w:val="clear" w:color="auto" w:fill="auto"/>
            <w:vAlign w:val="center"/>
          </w:tcPr>
          <w:p w14:paraId="72B1D61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响应文件</w:t>
            </w:r>
          </w:p>
          <w:p w14:paraId="6464E63F">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响应页码</w:t>
            </w:r>
          </w:p>
        </w:tc>
      </w:tr>
      <w:tr w14:paraId="10BB5AA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atLeast"/>
          <w:jc w:val="center"/>
        </w:trPr>
        <w:tc>
          <w:tcPr>
            <w:tcW w:w="417" w:type="pct"/>
            <w:tcBorders>
              <w:top w:val="single" w:color="auto" w:sz="2" w:space="0"/>
              <w:left w:val="single" w:color="auto" w:sz="12" w:space="0"/>
              <w:bottom w:val="single" w:color="auto" w:sz="2" w:space="0"/>
              <w:right w:val="single" w:color="auto" w:sz="2" w:space="0"/>
            </w:tcBorders>
            <w:shd w:val="clear" w:color="auto" w:fill="auto"/>
            <w:vAlign w:val="center"/>
          </w:tcPr>
          <w:p w14:paraId="6C58BC59">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w:t>
            </w:r>
          </w:p>
        </w:tc>
        <w:tc>
          <w:tcPr>
            <w:tcW w:w="1281" w:type="pct"/>
            <w:tcBorders>
              <w:top w:val="single" w:color="auto" w:sz="2" w:space="0"/>
              <w:left w:val="nil"/>
              <w:bottom w:val="single" w:color="auto" w:sz="2" w:space="0"/>
              <w:right w:val="single" w:color="auto" w:sz="2" w:space="0"/>
            </w:tcBorders>
            <w:shd w:val="clear" w:color="auto" w:fill="auto"/>
            <w:vAlign w:val="center"/>
          </w:tcPr>
          <w:p w14:paraId="584E46A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1"/>
                <w:szCs w:val="21"/>
              </w:rPr>
            </w:pPr>
          </w:p>
        </w:tc>
        <w:tc>
          <w:tcPr>
            <w:tcW w:w="1110" w:type="pct"/>
            <w:tcBorders>
              <w:top w:val="single" w:color="auto" w:sz="2" w:space="0"/>
              <w:left w:val="nil"/>
              <w:bottom w:val="single" w:color="auto" w:sz="2" w:space="0"/>
              <w:right w:val="single" w:color="auto" w:sz="2" w:space="0"/>
            </w:tcBorders>
            <w:shd w:val="clear" w:color="auto" w:fill="auto"/>
            <w:vAlign w:val="center"/>
          </w:tcPr>
          <w:p w14:paraId="1F8979C8">
            <w:pPr>
              <w:keepNext w:val="0"/>
              <w:keepLines w:val="0"/>
              <w:widowControl w:val="0"/>
              <w:suppressLineNumbers w:val="0"/>
              <w:autoSpaceDE w:val="0"/>
              <w:autoSpaceDN w:val="0"/>
              <w:adjustRightInd w:val="0"/>
              <w:spacing w:before="0" w:beforeAutospacing="0" w:after="0" w:afterAutospacing="0" w:line="360" w:lineRule="auto"/>
              <w:ind w:left="0" w:right="84" w:rightChars="40"/>
              <w:jc w:val="both"/>
              <w:rPr>
                <w:rFonts w:hint="eastAsia" w:ascii="宋体" w:hAnsi="宋体" w:eastAsia="宋体" w:cs="宋体"/>
                <w:kern w:val="2"/>
                <w:sz w:val="21"/>
                <w:szCs w:val="21"/>
              </w:rPr>
            </w:pPr>
          </w:p>
        </w:tc>
        <w:tc>
          <w:tcPr>
            <w:tcW w:w="919" w:type="pct"/>
            <w:tcBorders>
              <w:top w:val="single" w:color="auto" w:sz="2" w:space="0"/>
              <w:left w:val="nil"/>
              <w:bottom w:val="single" w:color="auto" w:sz="2" w:space="0"/>
              <w:right w:val="single" w:color="auto" w:sz="2" w:space="0"/>
            </w:tcBorders>
            <w:shd w:val="clear" w:color="auto" w:fill="auto"/>
            <w:vAlign w:val="top"/>
          </w:tcPr>
          <w:p w14:paraId="48EE30A6">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728" w:type="pct"/>
            <w:tcBorders>
              <w:top w:val="single" w:color="auto" w:sz="2" w:space="0"/>
              <w:left w:val="nil"/>
              <w:bottom w:val="single" w:color="auto" w:sz="2" w:space="0"/>
              <w:right w:val="single" w:color="auto" w:sz="2" w:space="0"/>
            </w:tcBorders>
            <w:shd w:val="clear" w:color="auto" w:fill="auto"/>
            <w:vAlign w:val="top"/>
          </w:tcPr>
          <w:p w14:paraId="243E75F4">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541" w:type="pct"/>
            <w:tcBorders>
              <w:top w:val="single" w:color="auto" w:sz="2" w:space="0"/>
              <w:left w:val="nil"/>
              <w:bottom w:val="single" w:color="auto" w:sz="2" w:space="0"/>
              <w:right w:val="single" w:color="auto" w:sz="12" w:space="0"/>
            </w:tcBorders>
            <w:shd w:val="clear" w:color="auto" w:fill="auto"/>
            <w:vAlign w:val="center"/>
          </w:tcPr>
          <w:p w14:paraId="0A824264">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r>
      <w:tr w14:paraId="3E31698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atLeast"/>
          <w:jc w:val="center"/>
        </w:trPr>
        <w:tc>
          <w:tcPr>
            <w:tcW w:w="417" w:type="pct"/>
            <w:tcBorders>
              <w:top w:val="single" w:color="auto" w:sz="2" w:space="0"/>
              <w:left w:val="single" w:color="auto" w:sz="12" w:space="0"/>
              <w:bottom w:val="single" w:color="auto" w:sz="2" w:space="0"/>
              <w:right w:val="single" w:color="auto" w:sz="2" w:space="0"/>
            </w:tcBorders>
            <w:shd w:val="clear" w:color="auto" w:fill="auto"/>
            <w:vAlign w:val="center"/>
          </w:tcPr>
          <w:p w14:paraId="4E916D6B">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w:t>
            </w:r>
          </w:p>
        </w:tc>
        <w:tc>
          <w:tcPr>
            <w:tcW w:w="1281" w:type="pct"/>
            <w:tcBorders>
              <w:top w:val="single" w:color="auto" w:sz="2" w:space="0"/>
              <w:left w:val="nil"/>
              <w:bottom w:val="single" w:color="auto" w:sz="2" w:space="0"/>
              <w:right w:val="single" w:color="auto" w:sz="2" w:space="0"/>
            </w:tcBorders>
            <w:shd w:val="clear" w:color="auto" w:fill="auto"/>
            <w:vAlign w:val="center"/>
          </w:tcPr>
          <w:p w14:paraId="40FE7B5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1"/>
                <w:szCs w:val="21"/>
              </w:rPr>
            </w:pPr>
          </w:p>
        </w:tc>
        <w:tc>
          <w:tcPr>
            <w:tcW w:w="1110" w:type="pct"/>
            <w:tcBorders>
              <w:top w:val="single" w:color="auto" w:sz="2" w:space="0"/>
              <w:left w:val="nil"/>
              <w:bottom w:val="single" w:color="auto" w:sz="2" w:space="0"/>
              <w:right w:val="single" w:color="auto" w:sz="2" w:space="0"/>
            </w:tcBorders>
            <w:shd w:val="clear" w:color="auto" w:fill="auto"/>
            <w:vAlign w:val="center"/>
          </w:tcPr>
          <w:p w14:paraId="2625CDCF">
            <w:pPr>
              <w:keepNext w:val="0"/>
              <w:keepLines w:val="0"/>
              <w:widowControl w:val="0"/>
              <w:suppressLineNumbers w:val="0"/>
              <w:autoSpaceDE w:val="0"/>
              <w:autoSpaceDN w:val="0"/>
              <w:adjustRightInd w:val="0"/>
              <w:spacing w:before="0" w:beforeAutospacing="0" w:after="0" w:afterAutospacing="0" w:line="360" w:lineRule="auto"/>
              <w:ind w:left="0" w:right="84" w:rightChars="40"/>
              <w:jc w:val="both"/>
              <w:rPr>
                <w:rFonts w:hint="eastAsia" w:ascii="宋体" w:hAnsi="宋体" w:eastAsia="宋体" w:cs="宋体"/>
                <w:kern w:val="2"/>
                <w:sz w:val="21"/>
                <w:szCs w:val="21"/>
              </w:rPr>
            </w:pPr>
          </w:p>
        </w:tc>
        <w:tc>
          <w:tcPr>
            <w:tcW w:w="919" w:type="pct"/>
            <w:tcBorders>
              <w:top w:val="single" w:color="auto" w:sz="2" w:space="0"/>
              <w:left w:val="nil"/>
              <w:bottom w:val="single" w:color="auto" w:sz="2" w:space="0"/>
              <w:right w:val="single" w:color="auto" w:sz="2" w:space="0"/>
            </w:tcBorders>
            <w:shd w:val="clear" w:color="auto" w:fill="auto"/>
            <w:vAlign w:val="top"/>
          </w:tcPr>
          <w:p w14:paraId="6E56F89F">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728" w:type="pct"/>
            <w:tcBorders>
              <w:top w:val="single" w:color="auto" w:sz="2" w:space="0"/>
              <w:left w:val="nil"/>
              <w:bottom w:val="single" w:color="auto" w:sz="2" w:space="0"/>
              <w:right w:val="single" w:color="auto" w:sz="2" w:space="0"/>
            </w:tcBorders>
            <w:shd w:val="clear" w:color="auto" w:fill="auto"/>
            <w:vAlign w:val="top"/>
          </w:tcPr>
          <w:p w14:paraId="496EF155">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541" w:type="pct"/>
            <w:tcBorders>
              <w:top w:val="single" w:color="auto" w:sz="2" w:space="0"/>
              <w:left w:val="nil"/>
              <w:bottom w:val="single" w:color="auto" w:sz="2" w:space="0"/>
              <w:right w:val="single" w:color="auto" w:sz="12" w:space="0"/>
            </w:tcBorders>
            <w:shd w:val="clear" w:color="auto" w:fill="auto"/>
            <w:vAlign w:val="center"/>
          </w:tcPr>
          <w:p w14:paraId="33EF6461">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r>
      <w:tr w14:paraId="1789EA2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atLeast"/>
          <w:jc w:val="center"/>
        </w:trPr>
        <w:tc>
          <w:tcPr>
            <w:tcW w:w="417" w:type="pct"/>
            <w:tcBorders>
              <w:top w:val="single" w:color="auto" w:sz="2" w:space="0"/>
              <w:left w:val="single" w:color="auto" w:sz="12" w:space="0"/>
              <w:bottom w:val="single" w:color="auto" w:sz="2" w:space="0"/>
              <w:right w:val="single" w:color="auto" w:sz="2" w:space="0"/>
            </w:tcBorders>
            <w:shd w:val="clear" w:color="auto" w:fill="auto"/>
            <w:vAlign w:val="center"/>
          </w:tcPr>
          <w:p w14:paraId="0D28DA3C">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w:t>
            </w:r>
          </w:p>
        </w:tc>
        <w:tc>
          <w:tcPr>
            <w:tcW w:w="1281" w:type="pct"/>
            <w:tcBorders>
              <w:top w:val="single" w:color="auto" w:sz="2" w:space="0"/>
              <w:left w:val="nil"/>
              <w:bottom w:val="single" w:color="auto" w:sz="2" w:space="0"/>
              <w:right w:val="single" w:color="auto" w:sz="2" w:space="0"/>
            </w:tcBorders>
            <w:shd w:val="clear" w:color="auto" w:fill="auto"/>
            <w:vAlign w:val="center"/>
          </w:tcPr>
          <w:p w14:paraId="27DECEA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1"/>
                <w:szCs w:val="21"/>
              </w:rPr>
            </w:pPr>
          </w:p>
        </w:tc>
        <w:tc>
          <w:tcPr>
            <w:tcW w:w="1110" w:type="pct"/>
            <w:tcBorders>
              <w:top w:val="single" w:color="auto" w:sz="2" w:space="0"/>
              <w:left w:val="nil"/>
              <w:bottom w:val="single" w:color="auto" w:sz="2" w:space="0"/>
              <w:right w:val="single" w:color="auto" w:sz="2" w:space="0"/>
            </w:tcBorders>
            <w:shd w:val="clear" w:color="auto" w:fill="auto"/>
            <w:vAlign w:val="center"/>
          </w:tcPr>
          <w:p w14:paraId="561B85A6">
            <w:pPr>
              <w:keepNext w:val="0"/>
              <w:keepLines w:val="0"/>
              <w:widowControl w:val="0"/>
              <w:suppressLineNumbers w:val="0"/>
              <w:autoSpaceDE w:val="0"/>
              <w:autoSpaceDN w:val="0"/>
              <w:adjustRightInd w:val="0"/>
              <w:spacing w:before="0" w:beforeAutospacing="0" w:after="0" w:afterAutospacing="0" w:line="360" w:lineRule="auto"/>
              <w:ind w:left="0" w:right="84" w:rightChars="40"/>
              <w:jc w:val="both"/>
              <w:rPr>
                <w:rFonts w:hint="eastAsia" w:ascii="宋体" w:hAnsi="宋体" w:eastAsia="宋体" w:cs="宋体"/>
                <w:kern w:val="2"/>
                <w:sz w:val="21"/>
                <w:szCs w:val="21"/>
              </w:rPr>
            </w:pPr>
          </w:p>
        </w:tc>
        <w:tc>
          <w:tcPr>
            <w:tcW w:w="919" w:type="pct"/>
            <w:tcBorders>
              <w:top w:val="single" w:color="auto" w:sz="2" w:space="0"/>
              <w:left w:val="nil"/>
              <w:bottom w:val="single" w:color="auto" w:sz="2" w:space="0"/>
              <w:right w:val="single" w:color="auto" w:sz="2" w:space="0"/>
            </w:tcBorders>
            <w:shd w:val="clear" w:color="auto" w:fill="auto"/>
            <w:vAlign w:val="top"/>
          </w:tcPr>
          <w:p w14:paraId="5703AF92">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728" w:type="pct"/>
            <w:tcBorders>
              <w:top w:val="single" w:color="auto" w:sz="2" w:space="0"/>
              <w:left w:val="nil"/>
              <w:bottom w:val="single" w:color="auto" w:sz="2" w:space="0"/>
              <w:right w:val="single" w:color="auto" w:sz="2" w:space="0"/>
            </w:tcBorders>
            <w:shd w:val="clear" w:color="auto" w:fill="auto"/>
            <w:vAlign w:val="top"/>
          </w:tcPr>
          <w:p w14:paraId="7BE24108">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541" w:type="pct"/>
            <w:tcBorders>
              <w:top w:val="single" w:color="auto" w:sz="2" w:space="0"/>
              <w:left w:val="nil"/>
              <w:bottom w:val="single" w:color="auto" w:sz="2" w:space="0"/>
              <w:right w:val="single" w:color="auto" w:sz="12" w:space="0"/>
            </w:tcBorders>
            <w:shd w:val="clear" w:color="auto" w:fill="auto"/>
            <w:vAlign w:val="center"/>
          </w:tcPr>
          <w:p w14:paraId="0A88A392">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r>
      <w:tr w14:paraId="705428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atLeast"/>
          <w:jc w:val="center"/>
        </w:trPr>
        <w:tc>
          <w:tcPr>
            <w:tcW w:w="417" w:type="pct"/>
            <w:tcBorders>
              <w:top w:val="single" w:color="auto" w:sz="2" w:space="0"/>
              <w:left w:val="single" w:color="auto" w:sz="12" w:space="0"/>
              <w:bottom w:val="single" w:color="auto" w:sz="2" w:space="0"/>
              <w:right w:val="single" w:color="auto" w:sz="2" w:space="0"/>
            </w:tcBorders>
            <w:shd w:val="clear" w:color="auto" w:fill="auto"/>
            <w:vAlign w:val="center"/>
          </w:tcPr>
          <w:p w14:paraId="1E1AF5FA">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w:t>
            </w:r>
          </w:p>
        </w:tc>
        <w:tc>
          <w:tcPr>
            <w:tcW w:w="1281" w:type="pct"/>
            <w:tcBorders>
              <w:top w:val="single" w:color="auto" w:sz="2" w:space="0"/>
              <w:left w:val="nil"/>
              <w:bottom w:val="single" w:color="auto" w:sz="2" w:space="0"/>
              <w:right w:val="single" w:color="auto" w:sz="2" w:space="0"/>
            </w:tcBorders>
            <w:shd w:val="clear" w:color="auto" w:fill="auto"/>
            <w:vAlign w:val="center"/>
          </w:tcPr>
          <w:p w14:paraId="2AA8743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1"/>
                <w:szCs w:val="21"/>
              </w:rPr>
            </w:pPr>
          </w:p>
        </w:tc>
        <w:tc>
          <w:tcPr>
            <w:tcW w:w="1110" w:type="pct"/>
            <w:tcBorders>
              <w:top w:val="single" w:color="auto" w:sz="2" w:space="0"/>
              <w:left w:val="nil"/>
              <w:bottom w:val="single" w:color="auto" w:sz="2" w:space="0"/>
              <w:right w:val="single" w:color="auto" w:sz="2" w:space="0"/>
            </w:tcBorders>
            <w:shd w:val="clear" w:color="auto" w:fill="auto"/>
            <w:vAlign w:val="center"/>
          </w:tcPr>
          <w:p w14:paraId="7971BF81">
            <w:pPr>
              <w:keepNext w:val="0"/>
              <w:keepLines w:val="0"/>
              <w:widowControl w:val="0"/>
              <w:suppressLineNumbers w:val="0"/>
              <w:autoSpaceDE w:val="0"/>
              <w:autoSpaceDN w:val="0"/>
              <w:adjustRightInd w:val="0"/>
              <w:spacing w:before="0" w:beforeAutospacing="0" w:after="0" w:afterAutospacing="0" w:line="360" w:lineRule="auto"/>
              <w:ind w:left="0" w:right="84" w:rightChars="40"/>
              <w:jc w:val="both"/>
              <w:rPr>
                <w:rFonts w:hint="eastAsia" w:ascii="宋体" w:hAnsi="宋体" w:eastAsia="宋体" w:cs="宋体"/>
                <w:kern w:val="2"/>
                <w:sz w:val="21"/>
                <w:szCs w:val="21"/>
              </w:rPr>
            </w:pPr>
          </w:p>
        </w:tc>
        <w:tc>
          <w:tcPr>
            <w:tcW w:w="919" w:type="pct"/>
            <w:tcBorders>
              <w:top w:val="single" w:color="auto" w:sz="2" w:space="0"/>
              <w:left w:val="nil"/>
              <w:bottom w:val="single" w:color="auto" w:sz="2" w:space="0"/>
              <w:right w:val="single" w:color="auto" w:sz="2" w:space="0"/>
            </w:tcBorders>
            <w:shd w:val="clear" w:color="auto" w:fill="auto"/>
            <w:vAlign w:val="top"/>
          </w:tcPr>
          <w:p w14:paraId="6E4F534A">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728" w:type="pct"/>
            <w:tcBorders>
              <w:top w:val="single" w:color="auto" w:sz="2" w:space="0"/>
              <w:left w:val="nil"/>
              <w:bottom w:val="single" w:color="auto" w:sz="2" w:space="0"/>
              <w:right w:val="single" w:color="auto" w:sz="2" w:space="0"/>
            </w:tcBorders>
            <w:shd w:val="clear" w:color="auto" w:fill="auto"/>
            <w:vAlign w:val="top"/>
          </w:tcPr>
          <w:p w14:paraId="7CA06CA0">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541" w:type="pct"/>
            <w:tcBorders>
              <w:top w:val="single" w:color="auto" w:sz="2" w:space="0"/>
              <w:left w:val="nil"/>
              <w:bottom w:val="single" w:color="auto" w:sz="2" w:space="0"/>
              <w:right w:val="single" w:color="auto" w:sz="12" w:space="0"/>
            </w:tcBorders>
            <w:shd w:val="clear" w:color="auto" w:fill="auto"/>
            <w:vAlign w:val="center"/>
          </w:tcPr>
          <w:p w14:paraId="34F2029D">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r>
      <w:tr w14:paraId="76E273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atLeast"/>
          <w:jc w:val="center"/>
        </w:trPr>
        <w:tc>
          <w:tcPr>
            <w:tcW w:w="417" w:type="pct"/>
            <w:tcBorders>
              <w:top w:val="single" w:color="auto" w:sz="2" w:space="0"/>
              <w:left w:val="single" w:color="auto" w:sz="12" w:space="0"/>
              <w:bottom w:val="single" w:color="auto" w:sz="2" w:space="0"/>
              <w:right w:val="single" w:color="auto" w:sz="2" w:space="0"/>
            </w:tcBorders>
            <w:shd w:val="clear" w:color="auto" w:fill="auto"/>
            <w:vAlign w:val="center"/>
          </w:tcPr>
          <w:p w14:paraId="2ED6C4D7">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w:t>
            </w:r>
          </w:p>
        </w:tc>
        <w:tc>
          <w:tcPr>
            <w:tcW w:w="1281" w:type="pct"/>
            <w:tcBorders>
              <w:top w:val="single" w:color="auto" w:sz="2" w:space="0"/>
              <w:left w:val="nil"/>
              <w:bottom w:val="single" w:color="auto" w:sz="2" w:space="0"/>
              <w:right w:val="single" w:color="auto" w:sz="2" w:space="0"/>
            </w:tcBorders>
            <w:shd w:val="clear" w:color="auto" w:fill="auto"/>
            <w:vAlign w:val="center"/>
          </w:tcPr>
          <w:p w14:paraId="41FEC5F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1"/>
                <w:szCs w:val="21"/>
              </w:rPr>
            </w:pPr>
          </w:p>
        </w:tc>
        <w:tc>
          <w:tcPr>
            <w:tcW w:w="1110" w:type="pct"/>
            <w:tcBorders>
              <w:top w:val="single" w:color="auto" w:sz="2" w:space="0"/>
              <w:left w:val="nil"/>
              <w:bottom w:val="single" w:color="auto" w:sz="2" w:space="0"/>
              <w:right w:val="single" w:color="auto" w:sz="2" w:space="0"/>
            </w:tcBorders>
            <w:shd w:val="clear" w:color="auto" w:fill="auto"/>
            <w:vAlign w:val="center"/>
          </w:tcPr>
          <w:p w14:paraId="550E5176">
            <w:pPr>
              <w:keepNext w:val="0"/>
              <w:keepLines w:val="0"/>
              <w:widowControl w:val="0"/>
              <w:suppressLineNumbers w:val="0"/>
              <w:autoSpaceDE w:val="0"/>
              <w:autoSpaceDN w:val="0"/>
              <w:adjustRightInd w:val="0"/>
              <w:spacing w:before="0" w:beforeAutospacing="0" w:after="0" w:afterAutospacing="0" w:line="360" w:lineRule="auto"/>
              <w:ind w:left="0" w:right="84" w:rightChars="40"/>
              <w:jc w:val="both"/>
              <w:rPr>
                <w:rFonts w:hint="eastAsia" w:ascii="宋体" w:hAnsi="宋体" w:eastAsia="宋体" w:cs="宋体"/>
                <w:kern w:val="2"/>
                <w:sz w:val="21"/>
                <w:szCs w:val="21"/>
              </w:rPr>
            </w:pPr>
          </w:p>
        </w:tc>
        <w:tc>
          <w:tcPr>
            <w:tcW w:w="919" w:type="pct"/>
            <w:tcBorders>
              <w:top w:val="single" w:color="auto" w:sz="2" w:space="0"/>
              <w:left w:val="nil"/>
              <w:bottom w:val="single" w:color="auto" w:sz="2" w:space="0"/>
              <w:right w:val="single" w:color="auto" w:sz="2" w:space="0"/>
            </w:tcBorders>
            <w:shd w:val="clear" w:color="auto" w:fill="auto"/>
            <w:vAlign w:val="top"/>
          </w:tcPr>
          <w:p w14:paraId="2B29DCAA">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728" w:type="pct"/>
            <w:tcBorders>
              <w:top w:val="single" w:color="auto" w:sz="2" w:space="0"/>
              <w:left w:val="nil"/>
              <w:bottom w:val="single" w:color="auto" w:sz="2" w:space="0"/>
              <w:right w:val="single" w:color="auto" w:sz="2" w:space="0"/>
            </w:tcBorders>
            <w:shd w:val="clear" w:color="auto" w:fill="auto"/>
            <w:vAlign w:val="top"/>
          </w:tcPr>
          <w:p w14:paraId="09239FD5">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541" w:type="pct"/>
            <w:tcBorders>
              <w:top w:val="single" w:color="auto" w:sz="2" w:space="0"/>
              <w:left w:val="nil"/>
              <w:bottom w:val="single" w:color="auto" w:sz="2" w:space="0"/>
              <w:right w:val="single" w:color="auto" w:sz="12" w:space="0"/>
            </w:tcBorders>
            <w:shd w:val="clear" w:color="auto" w:fill="auto"/>
            <w:vAlign w:val="center"/>
          </w:tcPr>
          <w:p w14:paraId="3ACB5066">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r>
      <w:tr w14:paraId="5A3C48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atLeast"/>
          <w:jc w:val="center"/>
        </w:trPr>
        <w:tc>
          <w:tcPr>
            <w:tcW w:w="417" w:type="pct"/>
            <w:tcBorders>
              <w:top w:val="single" w:color="auto" w:sz="2" w:space="0"/>
              <w:left w:val="single" w:color="auto" w:sz="12" w:space="0"/>
              <w:bottom w:val="single" w:color="auto" w:sz="12" w:space="0"/>
              <w:right w:val="single" w:color="auto" w:sz="2" w:space="0"/>
            </w:tcBorders>
            <w:shd w:val="clear" w:color="auto" w:fill="auto"/>
            <w:vAlign w:val="center"/>
          </w:tcPr>
          <w:p w14:paraId="7F7B2011">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w:t>
            </w:r>
          </w:p>
        </w:tc>
        <w:tc>
          <w:tcPr>
            <w:tcW w:w="1281" w:type="pct"/>
            <w:tcBorders>
              <w:top w:val="single" w:color="auto" w:sz="2" w:space="0"/>
              <w:left w:val="nil"/>
              <w:bottom w:val="single" w:color="auto" w:sz="12" w:space="0"/>
              <w:right w:val="single" w:color="auto" w:sz="2" w:space="0"/>
            </w:tcBorders>
            <w:shd w:val="clear" w:color="auto" w:fill="auto"/>
            <w:vAlign w:val="center"/>
          </w:tcPr>
          <w:p w14:paraId="21A1069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1"/>
                <w:szCs w:val="21"/>
              </w:rPr>
            </w:pPr>
          </w:p>
        </w:tc>
        <w:tc>
          <w:tcPr>
            <w:tcW w:w="1110" w:type="pct"/>
            <w:tcBorders>
              <w:top w:val="single" w:color="auto" w:sz="2" w:space="0"/>
              <w:left w:val="nil"/>
              <w:bottom w:val="single" w:color="auto" w:sz="12" w:space="0"/>
              <w:right w:val="single" w:color="auto" w:sz="2" w:space="0"/>
            </w:tcBorders>
            <w:shd w:val="clear" w:color="auto" w:fill="auto"/>
            <w:vAlign w:val="center"/>
          </w:tcPr>
          <w:p w14:paraId="1B232B76">
            <w:pPr>
              <w:keepNext w:val="0"/>
              <w:keepLines w:val="0"/>
              <w:widowControl w:val="0"/>
              <w:suppressLineNumbers w:val="0"/>
              <w:autoSpaceDE w:val="0"/>
              <w:autoSpaceDN w:val="0"/>
              <w:adjustRightInd w:val="0"/>
              <w:spacing w:before="0" w:beforeAutospacing="0" w:after="0" w:afterAutospacing="0" w:line="360" w:lineRule="auto"/>
              <w:ind w:left="0" w:right="84" w:rightChars="40"/>
              <w:jc w:val="both"/>
              <w:rPr>
                <w:rFonts w:hint="eastAsia" w:ascii="宋体" w:hAnsi="宋体" w:eastAsia="宋体" w:cs="宋体"/>
                <w:kern w:val="2"/>
                <w:sz w:val="21"/>
                <w:szCs w:val="21"/>
              </w:rPr>
            </w:pPr>
          </w:p>
        </w:tc>
        <w:tc>
          <w:tcPr>
            <w:tcW w:w="919" w:type="pct"/>
            <w:tcBorders>
              <w:top w:val="single" w:color="auto" w:sz="2" w:space="0"/>
              <w:left w:val="nil"/>
              <w:bottom w:val="single" w:color="auto" w:sz="12" w:space="0"/>
              <w:right w:val="single" w:color="auto" w:sz="2" w:space="0"/>
            </w:tcBorders>
            <w:shd w:val="clear" w:color="auto" w:fill="auto"/>
            <w:vAlign w:val="top"/>
          </w:tcPr>
          <w:p w14:paraId="01BE69E8">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728" w:type="pct"/>
            <w:tcBorders>
              <w:top w:val="single" w:color="auto" w:sz="2" w:space="0"/>
              <w:left w:val="nil"/>
              <w:bottom w:val="single" w:color="auto" w:sz="12" w:space="0"/>
              <w:right w:val="single" w:color="auto" w:sz="2" w:space="0"/>
            </w:tcBorders>
            <w:shd w:val="clear" w:color="auto" w:fill="auto"/>
            <w:vAlign w:val="top"/>
          </w:tcPr>
          <w:p w14:paraId="75E9D3D3">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c>
          <w:tcPr>
            <w:tcW w:w="541" w:type="pct"/>
            <w:tcBorders>
              <w:top w:val="single" w:color="auto" w:sz="2" w:space="0"/>
              <w:left w:val="nil"/>
              <w:bottom w:val="single" w:color="auto" w:sz="12" w:space="0"/>
              <w:right w:val="single" w:color="auto" w:sz="12" w:space="0"/>
            </w:tcBorders>
            <w:shd w:val="clear" w:color="auto" w:fill="auto"/>
            <w:vAlign w:val="center"/>
          </w:tcPr>
          <w:p w14:paraId="29F8B296">
            <w:pPr>
              <w:keepNext w:val="0"/>
              <w:keepLines w:val="0"/>
              <w:widowControl w:val="0"/>
              <w:suppressLineNumbers w:val="0"/>
              <w:autoSpaceDE w:val="0"/>
              <w:autoSpaceDN w:val="0"/>
              <w:adjustRightInd w:val="0"/>
              <w:spacing w:before="0" w:beforeAutospacing="0" w:after="0" w:afterAutospacing="0" w:line="360" w:lineRule="auto"/>
              <w:ind w:left="0" w:right="84" w:rightChars="40"/>
              <w:jc w:val="center"/>
              <w:rPr>
                <w:rFonts w:hint="eastAsia" w:ascii="宋体" w:hAnsi="宋体" w:eastAsia="宋体" w:cs="宋体"/>
                <w:kern w:val="2"/>
                <w:sz w:val="21"/>
                <w:szCs w:val="21"/>
              </w:rPr>
            </w:pPr>
          </w:p>
        </w:tc>
      </w:tr>
    </w:tbl>
    <w:p w14:paraId="4894D12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备注：本表根据招标文件用户需求书的“技术要求”，除带“</w:t>
      </w:r>
      <w:r>
        <w:rPr>
          <w:rFonts w:hint="eastAsia" w:ascii="宋体" w:hAnsi="宋体" w:eastAsia="宋体" w:cs="宋体"/>
          <w:b/>
          <w:bCs w:val="0"/>
          <w:kern w:val="2"/>
          <w:sz w:val="21"/>
          <w:szCs w:val="21"/>
          <w:lang w:val="en-US" w:eastAsia="zh-CN" w:bidi="ar"/>
        </w:rPr>
        <w:t>★</w:t>
      </w:r>
      <w:r>
        <w:rPr>
          <w:rFonts w:hint="eastAsia" w:ascii="宋体" w:hAnsi="宋体" w:eastAsia="宋体" w:cs="宋体"/>
          <w:kern w:val="2"/>
          <w:sz w:val="21"/>
          <w:szCs w:val="21"/>
          <w:lang w:val="en-US" w:eastAsia="zh-CN" w:bidi="ar"/>
        </w:rPr>
        <w:t>”指标之外，响应供应商须逐条详细响应并作出标注</w:t>
      </w:r>
      <w:r>
        <w:rPr>
          <w:rFonts w:hint="eastAsia" w:ascii="宋体" w:hAnsi="宋体" w:eastAsia="宋体" w:cs="宋体"/>
          <w:b/>
          <w:bCs w:val="0"/>
          <w:kern w:val="2"/>
          <w:sz w:val="21"/>
          <w:szCs w:val="21"/>
          <w:lang w:val="en-US" w:eastAsia="zh-CN" w:bidi="ar"/>
        </w:rPr>
        <w:t>“正偏离/负偏离/无偏离”</w:t>
      </w:r>
      <w:r>
        <w:rPr>
          <w:rFonts w:hint="eastAsia" w:ascii="宋体" w:hAnsi="宋体" w:eastAsia="宋体" w:cs="宋体"/>
          <w:kern w:val="2"/>
          <w:sz w:val="21"/>
          <w:szCs w:val="21"/>
          <w:lang w:val="en-US" w:eastAsia="zh-CN" w:bidi="ar"/>
        </w:rPr>
        <w:t>，“</w:t>
      </w:r>
      <w:r>
        <w:rPr>
          <w:rFonts w:hint="eastAsia" w:ascii="宋体" w:hAnsi="宋体" w:eastAsia="宋体" w:cs="宋体"/>
          <w:b/>
          <w:bCs w:val="0"/>
          <w:kern w:val="2"/>
          <w:sz w:val="21"/>
          <w:szCs w:val="21"/>
          <w:lang w:val="en-US" w:eastAsia="zh-CN" w:bidi="ar"/>
        </w:rPr>
        <w:t>正/负偏离</w:t>
      </w:r>
      <w:r>
        <w:rPr>
          <w:rFonts w:hint="eastAsia" w:ascii="宋体" w:hAnsi="宋体" w:eastAsia="宋体" w:cs="宋体"/>
          <w:kern w:val="2"/>
          <w:sz w:val="21"/>
          <w:szCs w:val="21"/>
          <w:lang w:val="en-US" w:eastAsia="zh-CN" w:bidi="ar"/>
        </w:rPr>
        <w:t>”的请在偏离说明栏目中具体说明及填写页码。</w:t>
      </w:r>
    </w:p>
    <w:p w14:paraId="5647764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lang w:val="en-US" w:eastAsia="zh-CN" w:bidi="ar"/>
        </w:rPr>
      </w:pPr>
    </w:p>
    <w:p w14:paraId="239D8D0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lang w:val="en-US" w:eastAsia="zh-CN" w:bidi="ar"/>
        </w:rPr>
      </w:pPr>
    </w:p>
    <w:p w14:paraId="1BE819A1">
      <w:pPr>
        <w:pStyle w:val="6"/>
        <w:keepNext w:val="0"/>
        <w:keepLines w:val="0"/>
        <w:widowControl/>
        <w:suppressLineNumbers w:val="0"/>
        <w:spacing w:line="360" w:lineRule="auto"/>
        <w:jc w:val="both"/>
        <w:rPr>
          <w:rFonts w:hint="eastAsia" w:ascii="宋体" w:hAnsi="宋体" w:eastAsia="宋体" w:cs="宋体"/>
          <w:b/>
          <w:bCs w:val="0"/>
          <w:color w:val="000000"/>
          <w:kern w:val="2"/>
          <w:sz w:val="28"/>
          <w:szCs w:val="28"/>
        </w:rPr>
      </w:pPr>
      <w:r>
        <w:rPr>
          <w:rFonts w:hint="eastAsia" w:ascii="宋体" w:hAnsi="宋体" w:eastAsia="宋体" w:cs="宋体"/>
          <w:b/>
          <w:bCs/>
          <w:kern w:val="2"/>
          <w:sz w:val="24"/>
          <w:szCs w:val="24"/>
        </w:rPr>
        <w:t>格式6</w:t>
      </w:r>
      <w:r>
        <w:rPr>
          <w:rFonts w:hint="eastAsia" w:ascii="宋体" w:hAnsi="宋体" w:eastAsia="宋体" w:cs="宋体"/>
          <w:b/>
          <w:bCs w:val="0"/>
          <w:color w:val="000000"/>
          <w:kern w:val="2"/>
          <w:sz w:val="28"/>
          <w:szCs w:val="28"/>
        </w:rPr>
        <w:t>报价一览表</w:t>
      </w:r>
    </w:p>
    <w:p w14:paraId="06F2A092">
      <w:pPr>
        <w:pStyle w:val="25"/>
        <w:keepNext w:val="0"/>
        <w:keepLines w:val="0"/>
        <w:widowControl/>
        <w:suppressLineNumbers w:val="0"/>
        <w:ind w:left="0" w:firstLine="400"/>
        <w:rPr>
          <w:rFonts w:hint="eastAsia" w:ascii="Times New Roman" w:hAnsi="Times New Roman" w:eastAsia="宋体" w:cs="Times New Roman"/>
          <w:kern w:val="2"/>
          <w:sz w:val="20"/>
          <w:szCs w:val="20"/>
        </w:rPr>
      </w:pPr>
      <w:r>
        <w:rPr>
          <w:rFonts w:hint="eastAsia" w:ascii="Times New Roman" w:hAnsi="Times New Roman" w:eastAsia="宋体" w:cs="Times New Roman"/>
          <w:kern w:val="2"/>
          <w:sz w:val="20"/>
          <w:szCs w:val="20"/>
        </w:rPr>
        <w:t xml:space="preserve"> </w:t>
      </w:r>
    </w:p>
    <w:p w14:paraId="015C44B7">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kern w:val="2"/>
          <w:sz w:val="28"/>
          <w:szCs w:val="28"/>
        </w:rPr>
      </w:pPr>
      <w:r>
        <w:rPr>
          <w:rFonts w:hint="eastAsia" w:ascii="宋体" w:hAnsi="宋体" w:eastAsia="宋体" w:cs="宋体"/>
          <w:b/>
          <w:bCs w:val="0"/>
          <w:kern w:val="2"/>
          <w:sz w:val="28"/>
          <w:szCs w:val="28"/>
          <w:lang w:val="en-US" w:eastAsia="zh-CN" w:bidi="ar"/>
        </w:rPr>
        <w:t>报价一览表</w:t>
      </w:r>
    </w:p>
    <w:p w14:paraId="148C1B16">
      <w:pPr>
        <w:keepNext w:val="0"/>
        <w:keepLines w:val="0"/>
        <w:widowControl w:val="0"/>
        <w:suppressLineNumbers w:val="0"/>
        <w:spacing w:before="0" w:beforeAutospacing="0" w:after="0" w:afterAutospacing="0" w:line="360" w:lineRule="auto"/>
        <w:ind w:left="0" w:right="0"/>
        <w:jc w:val="left"/>
        <w:rPr>
          <w:rFonts w:hint="eastAsia" w:ascii="宋体" w:hAnsi="宋体" w:eastAsia="宋体" w:cs="宋体"/>
          <w:bCs/>
          <w:kern w:val="2"/>
          <w:sz w:val="21"/>
          <w:szCs w:val="21"/>
        </w:rPr>
      </w:pPr>
      <w:r>
        <w:rPr>
          <w:rFonts w:hint="eastAsia" w:ascii="宋体" w:hAnsi="宋体" w:eastAsia="宋体" w:cs="宋体"/>
          <w:bCs/>
          <w:kern w:val="2"/>
          <w:sz w:val="21"/>
          <w:szCs w:val="21"/>
          <w:lang w:val="en-US" w:eastAsia="zh-CN" w:bidi="ar"/>
        </w:rPr>
        <w:t xml:space="preserve"> </w:t>
      </w:r>
    </w:p>
    <w:tbl>
      <w:tblPr>
        <w:tblStyle w:val="12"/>
        <w:tblW w:w="5000"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autofit"/>
        <w:tblCellMar>
          <w:top w:w="0" w:type="dxa"/>
          <w:left w:w="108" w:type="dxa"/>
          <w:bottom w:w="0" w:type="dxa"/>
          <w:right w:w="108" w:type="dxa"/>
        </w:tblCellMar>
      </w:tblPr>
      <w:tblGrid>
        <w:gridCol w:w="1011"/>
        <w:gridCol w:w="2396"/>
        <w:gridCol w:w="2800"/>
        <w:gridCol w:w="2315"/>
      </w:tblGrid>
      <w:tr w14:paraId="128542D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PrEx>
        <w:trPr>
          <w:trHeight w:val="588" w:hRule="atLeast"/>
        </w:trPr>
        <w:tc>
          <w:tcPr>
            <w:tcW w:w="593" w:type="pct"/>
            <w:tcBorders>
              <w:top w:val="single" w:color="auto" w:sz="2" w:space="0"/>
              <w:left w:val="single" w:color="auto" w:sz="2" w:space="0"/>
              <w:bottom w:val="single" w:color="auto" w:sz="2" w:space="0"/>
              <w:right w:val="single" w:color="auto" w:sz="2" w:space="0"/>
            </w:tcBorders>
            <w:shd w:val="clear" w:color="auto" w:fill="auto"/>
            <w:vAlign w:val="center"/>
          </w:tcPr>
          <w:p w14:paraId="6BECD67C">
            <w:pPr>
              <w:keepNext w:val="0"/>
              <w:keepLines w:val="0"/>
              <w:widowControl w:val="0"/>
              <w:suppressLineNumbers w:val="0"/>
              <w:spacing w:before="0" w:beforeAutospacing="0" w:after="0" w:afterAutospacing="0"/>
              <w:ind w:left="0" w:right="0"/>
              <w:jc w:val="center"/>
              <w:rPr>
                <w:rFonts w:hint="default" w:ascii="Calibri" w:hAnsi="Calibri" w:eastAsia="宋体" w:cs="Calibri"/>
                <w:kern w:val="2"/>
                <w:sz w:val="21"/>
                <w:szCs w:val="21"/>
              </w:rPr>
            </w:pPr>
            <w:r>
              <w:rPr>
                <w:rFonts w:hint="eastAsia" w:ascii="宋体" w:hAnsi="宋体" w:eastAsia="宋体" w:cs="宋体"/>
                <w:kern w:val="2"/>
                <w:sz w:val="21"/>
                <w:szCs w:val="21"/>
                <w:lang w:val="en-US" w:eastAsia="zh-CN" w:bidi="ar"/>
              </w:rPr>
              <w:t>序号</w:t>
            </w:r>
          </w:p>
        </w:tc>
        <w:tc>
          <w:tcPr>
            <w:tcW w:w="1406" w:type="pct"/>
            <w:tcBorders>
              <w:top w:val="single" w:color="auto" w:sz="2" w:space="0"/>
              <w:left w:val="nil"/>
              <w:bottom w:val="single" w:color="auto" w:sz="2" w:space="0"/>
              <w:right w:val="single" w:color="auto" w:sz="2" w:space="0"/>
            </w:tcBorders>
            <w:shd w:val="clear" w:color="auto" w:fill="auto"/>
            <w:vAlign w:val="center"/>
          </w:tcPr>
          <w:p w14:paraId="1B8615AE">
            <w:pPr>
              <w:keepNext w:val="0"/>
              <w:keepLines w:val="0"/>
              <w:widowControl w:val="0"/>
              <w:suppressLineNumbers w:val="0"/>
              <w:spacing w:before="0" w:beforeAutospacing="0" w:after="0" w:afterAutospacing="0"/>
              <w:ind w:left="0" w:right="0"/>
              <w:jc w:val="center"/>
              <w:rPr>
                <w:rFonts w:hint="default" w:ascii="Calibri" w:hAnsi="Calibri" w:eastAsia="宋体" w:cs="Calibri"/>
                <w:kern w:val="2"/>
                <w:sz w:val="21"/>
                <w:szCs w:val="21"/>
              </w:rPr>
            </w:pPr>
            <w:r>
              <w:rPr>
                <w:rFonts w:hint="eastAsia" w:ascii="宋体" w:hAnsi="宋体" w:eastAsia="宋体" w:cs="宋体"/>
                <w:kern w:val="2"/>
                <w:sz w:val="21"/>
                <w:szCs w:val="21"/>
                <w:lang w:val="en-US" w:eastAsia="zh-CN" w:bidi="ar"/>
              </w:rPr>
              <w:t>采购项目名称</w:t>
            </w:r>
          </w:p>
        </w:tc>
        <w:tc>
          <w:tcPr>
            <w:tcW w:w="1643" w:type="pct"/>
            <w:tcBorders>
              <w:top w:val="single" w:color="auto" w:sz="2" w:space="0"/>
              <w:left w:val="nil"/>
              <w:bottom w:val="single" w:color="auto" w:sz="2" w:space="0"/>
              <w:right w:val="single" w:color="auto" w:sz="2" w:space="0"/>
            </w:tcBorders>
            <w:shd w:val="clear" w:color="auto" w:fill="auto"/>
            <w:vAlign w:val="center"/>
          </w:tcPr>
          <w:p w14:paraId="279F0251">
            <w:pPr>
              <w:keepNext w:val="0"/>
              <w:keepLines w:val="0"/>
              <w:widowControl w:val="0"/>
              <w:suppressLineNumbers w:val="0"/>
              <w:spacing w:before="0" w:beforeAutospacing="0" w:after="0" w:afterAutospacing="0"/>
              <w:ind w:left="0" w:right="0"/>
              <w:jc w:val="center"/>
              <w:rPr>
                <w:rFonts w:hint="default" w:ascii="Calibri" w:hAnsi="Calibri" w:eastAsia="宋体" w:cs="Calibri"/>
                <w:kern w:val="2"/>
                <w:sz w:val="21"/>
                <w:szCs w:val="21"/>
              </w:rPr>
            </w:pPr>
            <w:r>
              <w:rPr>
                <w:rFonts w:hint="eastAsia" w:ascii="宋体" w:hAnsi="宋体" w:eastAsia="宋体" w:cs="宋体"/>
                <w:kern w:val="2"/>
                <w:sz w:val="21"/>
                <w:szCs w:val="21"/>
                <w:lang w:val="en-US" w:eastAsia="zh-CN" w:bidi="ar"/>
              </w:rPr>
              <w:t>响应报价（元）</w:t>
            </w:r>
          </w:p>
        </w:tc>
        <w:tc>
          <w:tcPr>
            <w:tcW w:w="1355" w:type="pct"/>
            <w:tcBorders>
              <w:top w:val="single" w:color="auto" w:sz="2" w:space="0"/>
              <w:left w:val="nil"/>
              <w:bottom w:val="single" w:color="auto" w:sz="2" w:space="0"/>
              <w:right w:val="single" w:color="auto" w:sz="2" w:space="0"/>
            </w:tcBorders>
            <w:shd w:val="clear" w:color="auto" w:fill="auto"/>
            <w:vAlign w:val="center"/>
          </w:tcPr>
          <w:p w14:paraId="6E65D840">
            <w:pPr>
              <w:keepNext w:val="0"/>
              <w:keepLines w:val="0"/>
              <w:widowControl w:val="0"/>
              <w:suppressLineNumbers w:val="0"/>
              <w:spacing w:before="0" w:beforeAutospacing="0" w:after="0" w:afterAutospacing="0"/>
              <w:ind w:left="0" w:right="0"/>
              <w:jc w:val="center"/>
              <w:rPr>
                <w:rFonts w:hint="default" w:ascii="Calibri" w:hAnsi="Calibri" w:eastAsia="宋体" w:cs="Calibri"/>
                <w:kern w:val="2"/>
                <w:sz w:val="21"/>
                <w:szCs w:val="21"/>
              </w:rPr>
            </w:pPr>
            <w:r>
              <w:rPr>
                <w:rFonts w:hint="eastAsia" w:ascii="宋体" w:hAnsi="宋体" w:eastAsia="宋体" w:cs="宋体"/>
                <w:kern w:val="2"/>
                <w:sz w:val="21"/>
                <w:szCs w:val="21"/>
                <w:lang w:val="en-US" w:eastAsia="zh-CN" w:bidi="ar"/>
              </w:rPr>
              <w:t>备注</w:t>
            </w:r>
          </w:p>
        </w:tc>
      </w:tr>
      <w:tr w14:paraId="648A086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993" w:hRule="atLeast"/>
        </w:trPr>
        <w:tc>
          <w:tcPr>
            <w:tcW w:w="593" w:type="pct"/>
            <w:tcBorders>
              <w:top w:val="single" w:color="auto" w:sz="2" w:space="0"/>
              <w:left w:val="single" w:color="auto" w:sz="2" w:space="0"/>
              <w:bottom w:val="single" w:color="auto" w:sz="2" w:space="0"/>
              <w:right w:val="single" w:color="auto" w:sz="2" w:space="0"/>
            </w:tcBorders>
            <w:shd w:val="clear" w:color="auto" w:fill="auto"/>
            <w:vAlign w:val="center"/>
          </w:tcPr>
          <w:p w14:paraId="2281EBCD">
            <w:pPr>
              <w:keepNext w:val="0"/>
              <w:keepLines w:val="0"/>
              <w:widowControl w:val="0"/>
              <w:suppressLineNumbers w:val="0"/>
              <w:spacing w:before="0" w:beforeAutospacing="0" w:after="0" w:afterAutospacing="0"/>
              <w:ind w:left="0" w:right="0"/>
              <w:jc w:val="center"/>
              <w:rPr>
                <w:rFonts w:hint="default" w:ascii="Calibri" w:hAnsi="Calibri" w:eastAsia="宋体" w:cs="Calibri"/>
                <w:kern w:val="2"/>
                <w:sz w:val="21"/>
                <w:szCs w:val="21"/>
              </w:rPr>
            </w:pPr>
            <w:r>
              <w:rPr>
                <w:rFonts w:hint="default" w:ascii="Times New Roman" w:hAnsi="Times New Roman" w:eastAsia="宋体" w:cs="Times New Roman"/>
                <w:kern w:val="2"/>
                <w:sz w:val="21"/>
                <w:szCs w:val="21"/>
                <w:lang w:val="en-US" w:eastAsia="zh-CN" w:bidi="ar"/>
              </w:rPr>
              <w:t>1</w:t>
            </w:r>
          </w:p>
        </w:tc>
        <w:tc>
          <w:tcPr>
            <w:tcW w:w="1406" w:type="pct"/>
            <w:tcBorders>
              <w:top w:val="single" w:color="auto" w:sz="2" w:space="0"/>
              <w:left w:val="nil"/>
              <w:bottom w:val="single" w:color="auto" w:sz="2" w:space="0"/>
              <w:right w:val="single" w:color="auto" w:sz="2" w:space="0"/>
            </w:tcBorders>
            <w:shd w:val="clear" w:color="auto" w:fill="auto"/>
            <w:vAlign w:val="top"/>
          </w:tcPr>
          <w:p w14:paraId="29407AF4">
            <w:pPr>
              <w:keepNext w:val="0"/>
              <w:keepLines w:val="0"/>
              <w:widowControl w:val="0"/>
              <w:suppressLineNumbers w:val="0"/>
              <w:spacing w:before="0" w:beforeAutospacing="0" w:after="0" w:afterAutospacing="0"/>
              <w:ind w:left="0" w:right="0"/>
              <w:jc w:val="both"/>
              <w:rPr>
                <w:rFonts w:hint="eastAsia" w:ascii="Calibri" w:hAnsi="Calibri" w:eastAsia="宋体" w:cs="宋体"/>
                <w:kern w:val="2"/>
                <w:sz w:val="21"/>
                <w:szCs w:val="21"/>
              </w:rPr>
            </w:pPr>
          </w:p>
        </w:tc>
        <w:tc>
          <w:tcPr>
            <w:tcW w:w="1643" w:type="pct"/>
            <w:tcBorders>
              <w:top w:val="single" w:color="auto" w:sz="2" w:space="0"/>
              <w:left w:val="nil"/>
              <w:bottom w:val="single" w:color="auto" w:sz="2" w:space="0"/>
              <w:right w:val="single" w:color="auto" w:sz="2" w:space="0"/>
            </w:tcBorders>
            <w:shd w:val="clear" w:color="auto" w:fill="auto"/>
            <w:vAlign w:val="top"/>
          </w:tcPr>
          <w:p w14:paraId="76AB1508">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1355" w:type="pct"/>
            <w:tcBorders>
              <w:top w:val="single" w:color="auto" w:sz="2" w:space="0"/>
              <w:left w:val="nil"/>
              <w:bottom w:val="single" w:color="auto" w:sz="2" w:space="0"/>
              <w:right w:val="single" w:color="auto" w:sz="2" w:space="0"/>
            </w:tcBorders>
            <w:shd w:val="clear" w:color="auto" w:fill="auto"/>
            <w:vAlign w:val="top"/>
          </w:tcPr>
          <w:p w14:paraId="149B3232">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r>
      <w:tr w14:paraId="151BB45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12" w:hRule="atLeast"/>
        </w:trPr>
        <w:tc>
          <w:tcPr>
            <w:tcW w:w="5000" w:type="pct"/>
            <w:gridSpan w:val="4"/>
            <w:tcBorders>
              <w:top w:val="single" w:color="auto" w:sz="2" w:space="0"/>
              <w:left w:val="single" w:color="auto" w:sz="2" w:space="0"/>
              <w:bottom w:val="single" w:color="auto" w:sz="2" w:space="0"/>
              <w:right w:val="single" w:color="auto" w:sz="2" w:space="0"/>
            </w:tcBorders>
            <w:shd w:val="clear" w:color="auto" w:fill="auto"/>
            <w:vAlign w:val="center"/>
          </w:tcPr>
          <w:p w14:paraId="3648E5E3">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r>
              <w:rPr>
                <w:rFonts w:hint="eastAsia" w:ascii="宋体" w:hAnsi="宋体" w:eastAsia="宋体" w:cs="宋体"/>
                <w:kern w:val="2"/>
                <w:sz w:val="21"/>
                <w:szCs w:val="21"/>
                <w:lang w:val="en-US" w:eastAsia="zh-CN" w:bidi="ar"/>
              </w:rPr>
              <w:t>备注：详细内容见《报价明细表》</w:t>
            </w:r>
          </w:p>
        </w:tc>
      </w:tr>
    </w:tbl>
    <w:p w14:paraId="448A3BD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注：1.响应报价是供应商成交后完成用户需求书中要求的所有工作内容而发生的所有直接费用、间接费用和要求获得的利润以及应由其承担的义务、责任和风险所发生的一切费用和赔偿。</w:t>
      </w:r>
    </w:p>
    <w:p w14:paraId="1FD78DE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default" w:ascii="Times New Roman" w:hAnsi="Times New Roman" w:eastAsia="宋体" w:cs="Times New Roman"/>
          <w:kern w:val="2"/>
          <w:sz w:val="21"/>
          <w:szCs w:val="21"/>
          <w:lang w:val="en-US" w:eastAsia="zh-CN" w:bidi="ar"/>
        </w:rPr>
        <w:t>2.</w:t>
      </w:r>
      <w:r>
        <w:rPr>
          <w:rFonts w:hint="eastAsia" w:ascii="宋体" w:hAnsi="宋体" w:eastAsia="宋体" w:cs="宋体"/>
          <w:kern w:val="2"/>
          <w:sz w:val="21"/>
          <w:szCs w:val="21"/>
          <w:lang w:val="en-US" w:eastAsia="zh-CN" w:bidi="ar"/>
        </w:rPr>
        <w:t>投标供应商的报价不得高于本项目预算金额，否则按无效报价处理。</w:t>
      </w:r>
    </w:p>
    <w:p w14:paraId="009E8CE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46FCD40">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供应商名称：</w:t>
      </w:r>
      <w:r>
        <w:rPr>
          <w:rFonts w:hint="eastAsia" w:ascii="宋体" w:hAnsi="宋体" w:eastAsia="宋体" w:cs="宋体"/>
          <w:color w:val="000000"/>
          <w:kern w:val="2"/>
          <w:sz w:val="21"/>
          <w:szCs w:val="21"/>
          <w:u w:val="single"/>
          <w:lang w:val="en-US" w:eastAsia="zh-CN" w:bidi="ar"/>
        </w:rPr>
        <w:t xml:space="preserve">      （加盖公章）    </w:t>
      </w:r>
    </w:p>
    <w:p w14:paraId="1C5486FB">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供应商法定代表人（或其授权代表）：</w:t>
      </w:r>
      <w:r>
        <w:rPr>
          <w:rFonts w:hint="eastAsia" w:ascii="宋体" w:hAnsi="宋体" w:eastAsia="宋体" w:cs="宋体"/>
          <w:color w:val="000000"/>
          <w:kern w:val="2"/>
          <w:sz w:val="21"/>
          <w:szCs w:val="21"/>
          <w:u w:val="single"/>
          <w:lang w:val="en-US" w:eastAsia="zh-CN" w:bidi="ar"/>
        </w:rPr>
        <w:t xml:space="preserve">  （签字或盖章）    </w:t>
      </w:r>
    </w:p>
    <w:p w14:paraId="01495A54">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b/>
          <w:bCs w:val="0"/>
          <w:color w:val="000000"/>
          <w:kern w:val="2"/>
          <w:sz w:val="21"/>
          <w:szCs w:val="21"/>
        </w:rPr>
      </w:pPr>
      <w:r>
        <w:rPr>
          <w:rFonts w:hint="eastAsia" w:ascii="宋体" w:hAnsi="宋体" w:eastAsia="宋体" w:cs="宋体"/>
          <w:color w:val="000000"/>
          <w:kern w:val="2"/>
          <w:sz w:val="21"/>
          <w:szCs w:val="21"/>
          <w:lang w:val="en-US" w:eastAsia="zh-CN" w:bidi="ar"/>
        </w:rPr>
        <w:t>日期：    年   月    日</w:t>
      </w:r>
    </w:p>
    <w:p w14:paraId="4BD5F3BA">
      <w:pPr>
        <w:pStyle w:val="11"/>
        <w:keepNext w:val="0"/>
        <w:keepLines w:val="0"/>
        <w:widowControl/>
        <w:suppressLineNumbers w:val="0"/>
        <w:spacing w:before="0" w:beforeAutospacing="0" w:after="0" w:afterAutospacing="0" w:line="480" w:lineRule="exact"/>
        <w:ind w:left="720" w:right="0" w:hanging="720"/>
        <w:jc w:val="both"/>
        <w:rPr>
          <w:rFonts w:hint="eastAsia" w:ascii="宋体" w:hAnsi="宋体" w:eastAsia="宋体" w:cs="Courier New"/>
          <w:b/>
          <w:bCs w:val="0"/>
          <w:color w:val="000000"/>
          <w:kern w:val="2"/>
          <w:sz w:val="24"/>
          <w:szCs w:val="24"/>
        </w:rPr>
      </w:pPr>
      <w:r>
        <w:rPr>
          <w:rFonts w:hint="eastAsia" w:ascii="宋体" w:hAnsi="宋体" w:eastAsia="宋体" w:cs="Courier New"/>
          <w:b/>
          <w:bCs w:val="0"/>
          <w:color w:val="000000"/>
          <w:kern w:val="2"/>
          <w:sz w:val="24"/>
          <w:szCs w:val="24"/>
          <w:lang w:val="en-US" w:eastAsia="zh-CN" w:bidi="ar"/>
        </w:rPr>
        <w:br w:type="page"/>
      </w:r>
      <w:r>
        <w:rPr>
          <w:rFonts w:hint="eastAsia" w:ascii="宋体" w:hAnsi="宋体" w:eastAsia="宋体" w:cs="宋体"/>
          <w:b/>
          <w:bCs w:val="0"/>
          <w:color w:val="000000"/>
          <w:kern w:val="2"/>
          <w:sz w:val="24"/>
          <w:szCs w:val="24"/>
          <w:lang w:val="en-US" w:eastAsia="zh-CN" w:bidi="ar"/>
        </w:rPr>
        <w:t>格式7报价明细表</w:t>
      </w:r>
    </w:p>
    <w:p w14:paraId="17EB0521">
      <w:pPr>
        <w:pStyle w:val="11"/>
        <w:keepNext w:val="0"/>
        <w:keepLines w:val="0"/>
        <w:widowControl/>
        <w:suppressLineNumbers w:val="0"/>
        <w:spacing w:before="0" w:beforeAutospacing="0" w:after="0" w:afterAutospacing="0" w:line="480" w:lineRule="exact"/>
        <w:ind w:left="720" w:right="0" w:hanging="720"/>
        <w:jc w:val="center"/>
        <w:rPr>
          <w:rFonts w:hint="eastAsia" w:ascii="宋体" w:hAnsi="宋体" w:eastAsia="宋体" w:cs="Courier New"/>
          <w:b/>
          <w:bCs w:val="0"/>
          <w:color w:val="000000"/>
          <w:kern w:val="2"/>
          <w:sz w:val="24"/>
          <w:szCs w:val="24"/>
        </w:rPr>
      </w:pPr>
      <w:r>
        <w:rPr>
          <w:rFonts w:hint="eastAsia" w:ascii="宋体" w:hAnsi="宋体" w:eastAsia="宋体" w:cs="宋体"/>
          <w:b/>
          <w:bCs w:val="0"/>
          <w:color w:val="000000"/>
          <w:kern w:val="2"/>
          <w:sz w:val="24"/>
          <w:szCs w:val="24"/>
          <w:lang w:val="en-US" w:eastAsia="zh-CN" w:bidi="ar"/>
        </w:rPr>
        <w:t>报价明细表</w:t>
      </w:r>
    </w:p>
    <w:p w14:paraId="5A88756A">
      <w:pPr>
        <w:pStyle w:val="11"/>
        <w:keepNext w:val="0"/>
        <w:keepLines w:val="0"/>
        <w:widowControl/>
        <w:suppressLineNumbers w:val="0"/>
        <w:spacing w:before="0" w:beforeAutospacing="0" w:after="0" w:afterAutospacing="0" w:line="480" w:lineRule="exact"/>
        <w:ind w:left="720" w:right="0" w:hanging="720"/>
        <w:jc w:val="center"/>
        <w:rPr>
          <w:rFonts w:hint="eastAsia" w:ascii="宋体" w:hAnsi="宋体" w:eastAsia="宋体" w:cs="Courier New"/>
          <w:b/>
          <w:bCs w:val="0"/>
          <w:color w:val="000000"/>
          <w:kern w:val="2"/>
          <w:sz w:val="24"/>
          <w:szCs w:val="24"/>
        </w:rPr>
      </w:pPr>
      <w:r>
        <w:rPr>
          <w:rFonts w:hint="eastAsia" w:ascii="宋体" w:hAnsi="宋体" w:eastAsia="宋体" w:cs="宋体"/>
          <w:color w:val="000000"/>
          <w:kern w:val="2"/>
          <w:sz w:val="24"/>
          <w:szCs w:val="24"/>
          <w:lang w:val="en-US" w:eastAsia="zh-CN" w:bidi="ar"/>
        </w:rPr>
        <w:t>（</w:t>
      </w:r>
      <w:r>
        <w:rPr>
          <w:rFonts w:hint="eastAsia" w:ascii="宋体" w:hAnsi="宋体" w:eastAsia="宋体" w:cs="宋体"/>
          <w:color w:val="000000"/>
          <w:kern w:val="2"/>
          <w:sz w:val="21"/>
          <w:szCs w:val="21"/>
          <w:lang w:val="en-US" w:eastAsia="zh-CN" w:bidi="ar"/>
        </w:rPr>
        <w:t>货币单位：人民币元</w:t>
      </w:r>
      <w:r>
        <w:rPr>
          <w:rFonts w:hint="eastAsia" w:ascii="宋体" w:hAnsi="宋体" w:eastAsia="宋体" w:cs="宋体"/>
          <w:color w:val="000000"/>
          <w:kern w:val="2"/>
          <w:sz w:val="24"/>
          <w:szCs w:val="24"/>
          <w:lang w:val="en-US" w:eastAsia="zh-CN" w:bidi="ar"/>
        </w:rPr>
        <w:t>）</w:t>
      </w:r>
    </w:p>
    <w:tbl>
      <w:tblPr>
        <w:tblStyle w:val="12"/>
        <w:tblW w:w="5000"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autofit"/>
        <w:tblCellMar>
          <w:top w:w="0" w:type="dxa"/>
          <w:left w:w="108" w:type="dxa"/>
          <w:bottom w:w="0" w:type="dxa"/>
          <w:right w:w="108" w:type="dxa"/>
        </w:tblCellMar>
      </w:tblPr>
      <w:tblGrid>
        <w:gridCol w:w="746"/>
        <w:gridCol w:w="1138"/>
        <w:gridCol w:w="1200"/>
        <w:gridCol w:w="1042"/>
        <w:gridCol w:w="1040"/>
        <w:gridCol w:w="1166"/>
        <w:gridCol w:w="650"/>
        <w:gridCol w:w="793"/>
        <w:gridCol w:w="747"/>
      </w:tblGrid>
      <w:tr w14:paraId="4F7156B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454" w:hRule="atLeast"/>
        </w:trPr>
        <w:tc>
          <w:tcPr>
            <w:tcW w:w="438" w:type="pct"/>
            <w:tcBorders>
              <w:top w:val="single" w:color="auto" w:sz="2" w:space="0"/>
              <w:left w:val="single" w:color="auto" w:sz="2" w:space="0"/>
              <w:bottom w:val="single" w:color="auto" w:sz="2" w:space="0"/>
              <w:right w:val="single" w:color="auto" w:sz="2" w:space="0"/>
            </w:tcBorders>
            <w:shd w:val="clear" w:color="auto" w:fill="auto"/>
            <w:vAlign w:val="center"/>
          </w:tcPr>
          <w:p w14:paraId="5A3441E8">
            <w:pPr>
              <w:keepNext w:val="0"/>
              <w:keepLines w:val="0"/>
              <w:widowControl w:val="0"/>
              <w:suppressLineNumbers w:val="0"/>
              <w:spacing w:before="0" w:beforeAutospacing="0" w:after="0" w:afterAutospacing="0"/>
              <w:ind w:left="0" w:right="0"/>
              <w:jc w:val="center"/>
              <w:rPr>
                <w:rFonts w:hint="default" w:ascii="Calibri" w:hAnsi="Calibri" w:eastAsia="宋体" w:cs="Calibri"/>
                <w:kern w:val="2"/>
                <w:sz w:val="21"/>
                <w:szCs w:val="21"/>
              </w:rPr>
            </w:pPr>
            <w:r>
              <w:rPr>
                <w:rFonts w:hint="eastAsia" w:ascii="宋体" w:hAnsi="宋体" w:eastAsia="宋体" w:cs="宋体"/>
                <w:kern w:val="2"/>
                <w:sz w:val="21"/>
                <w:szCs w:val="21"/>
                <w:lang w:val="en-US" w:eastAsia="zh-CN" w:bidi="ar"/>
              </w:rPr>
              <w:t>序号</w:t>
            </w:r>
          </w:p>
        </w:tc>
        <w:tc>
          <w:tcPr>
            <w:tcW w:w="668" w:type="pct"/>
            <w:tcBorders>
              <w:top w:val="single" w:color="auto" w:sz="2" w:space="0"/>
              <w:left w:val="nil"/>
              <w:bottom w:val="single" w:color="auto" w:sz="2" w:space="0"/>
              <w:right w:val="single" w:color="auto" w:sz="2" w:space="0"/>
            </w:tcBorders>
            <w:shd w:val="clear" w:color="auto" w:fill="auto"/>
            <w:vAlign w:val="center"/>
          </w:tcPr>
          <w:p w14:paraId="1AB01A57">
            <w:pPr>
              <w:keepNext w:val="0"/>
              <w:keepLines w:val="0"/>
              <w:widowControl w:val="0"/>
              <w:suppressLineNumbers w:val="0"/>
              <w:spacing w:before="0" w:beforeAutospacing="0" w:after="0" w:afterAutospacing="0"/>
              <w:ind w:left="0" w:right="0"/>
              <w:jc w:val="center"/>
              <w:rPr>
                <w:rFonts w:hint="default" w:ascii="Calibri" w:hAnsi="Calibri" w:eastAsia="宋体" w:cs="Calibri"/>
                <w:kern w:val="2"/>
                <w:sz w:val="21"/>
                <w:szCs w:val="21"/>
              </w:rPr>
            </w:pPr>
            <w:r>
              <w:rPr>
                <w:rFonts w:hint="eastAsia" w:ascii="宋体" w:hAnsi="宋体" w:eastAsia="宋体" w:cs="宋体"/>
                <w:kern w:val="2"/>
                <w:sz w:val="21"/>
                <w:szCs w:val="21"/>
                <w:lang w:val="en-US" w:eastAsia="zh-CN" w:bidi="ar"/>
              </w:rPr>
              <w:t>服务名称</w:t>
            </w:r>
          </w:p>
        </w:tc>
        <w:tc>
          <w:tcPr>
            <w:tcW w:w="704" w:type="pct"/>
            <w:tcBorders>
              <w:top w:val="single" w:color="auto" w:sz="2" w:space="0"/>
              <w:left w:val="nil"/>
              <w:bottom w:val="single" w:color="auto" w:sz="2" w:space="0"/>
              <w:right w:val="single" w:color="auto" w:sz="2" w:space="0"/>
            </w:tcBorders>
            <w:shd w:val="clear" w:color="auto" w:fill="auto"/>
            <w:vAlign w:val="center"/>
          </w:tcPr>
          <w:p w14:paraId="469B6D3C">
            <w:pPr>
              <w:keepNext w:val="0"/>
              <w:keepLines w:val="0"/>
              <w:widowControl w:val="0"/>
              <w:suppressLineNumbers w:val="0"/>
              <w:spacing w:before="0" w:beforeAutospacing="0" w:after="0" w:afterAutospacing="0"/>
              <w:ind w:left="0" w:right="0"/>
              <w:jc w:val="center"/>
              <w:rPr>
                <w:rFonts w:hint="default" w:ascii="Calibri" w:hAnsi="Calibri" w:eastAsia="宋体" w:cs="Calibri"/>
                <w:kern w:val="2"/>
                <w:sz w:val="21"/>
                <w:szCs w:val="21"/>
              </w:rPr>
            </w:pPr>
            <w:r>
              <w:rPr>
                <w:rFonts w:hint="eastAsia" w:ascii="宋体" w:hAnsi="宋体" w:eastAsia="宋体" w:cs="宋体"/>
                <w:kern w:val="2"/>
                <w:sz w:val="21"/>
                <w:szCs w:val="21"/>
                <w:lang w:val="en-US" w:eastAsia="zh-CN" w:bidi="ar"/>
              </w:rPr>
              <w:t>服务范围</w:t>
            </w:r>
          </w:p>
        </w:tc>
        <w:tc>
          <w:tcPr>
            <w:tcW w:w="611" w:type="pct"/>
            <w:tcBorders>
              <w:top w:val="single" w:color="auto" w:sz="2" w:space="0"/>
              <w:left w:val="nil"/>
              <w:bottom w:val="single" w:color="auto" w:sz="2" w:space="0"/>
              <w:right w:val="single" w:color="auto" w:sz="2" w:space="0"/>
            </w:tcBorders>
            <w:shd w:val="clear" w:color="auto" w:fill="auto"/>
            <w:vAlign w:val="center"/>
          </w:tcPr>
          <w:p w14:paraId="017F03DF">
            <w:pPr>
              <w:keepNext w:val="0"/>
              <w:keepLines w:val="0"/>
              <w:widowControl w:val="0"/>
              <w:suppressLineNumbers w:val="0"/>
              <w:spacing w:before="0" w:beforeAutospacing="0" w:after="0" w:afterAutospacing="0"/>
              <w:ind w:left="0" w:right="0"/>
              <w:jc w:val="center"/>
              <w:rPr>
                <w:rFonts w:hint="default" w:ascii="Calibri" w:hAnsi="Calibri" w:eastAsia="宋体" w:cs="Calibri"/>
                <w:kern w:val="2"/>
                <w:sz w:val="21"/>
                <w:szCs w:val="21"/>
              </w:rPr>
            </w:pPr>
            <w:r>
              <w:rPr>
                <w:rFonts w:hint="eastAsia" w:ascii="宋体" w:hAnsi="宋体" w:eastAsia="宋体" w:cs="宋体"/>
                <w:kern w:val="2"/>
                <w:sz w:val="21"/>
                <w:szCs w:val="21"/>
                <w:lang w:val="en-US" w:eastAsia="zh-CN" w:bidi="ar"/>
              </w:rPr>
              <w:t>服务要求</w:t>
            </w:r>
          </w:p>
        </w:tc>
        <w:tc>
          <w:tcPr>
            <w:tcW w:w="610" w:type="pct"/>
            <w:tcBorders>
              <w:top w:val="single" w:color="auto" w:sz="2" w:space="0"/>
              <w:left w:val="nil"/>
              <w:bottom w:val="single" w:color="auto" w:sz="2" w:space="0"/>
              <w:right w:val="single" w:color="auto" w:sz="2" w:space="0"/>
            </w:tcBorders>
            <w:shd w:val="clear" w:color="auto" w:fill="auto"/>
            <w:vAlign w:val="center"/>
          </w:tcPr>
          <w:p w14:paraId="528E6D93">
            <w:pPr>
              <w:keepNext w:val="0"/>
              <w:keepLines w:val="0"/>
              <w:widowControl w:val="0"/>
              <w:suppressLineNumbers w:val="0"/>
              <w:spacing w:before="0" w:beforeAutospacing="0" w:after="0" w:afterAutospacing="0"/>
              <w:ind w:left="0" w:right="0"/>
              <w:jc w:val="center"/>
              <w:rPr>
                <w:rFonts w:hint="default" w:ascii="Calibri" w:hAnsi="Calibri" w:eastAsia="宋体" w:cs="Calibri"/>
                <w:kern w:val="2"/>
                <w:sz w:val="21"/>
                <w:szCs w:val="21"/>
              </w:rPr>
            </w:pPr>
            <w:r>
              <w:rPr>
                <w:rFonts w:hint="eastAsia" w:ascii="宋体" w:hAnsi="宋体" w:eastAsia="宋体" w:cs="宋体"/>
                <w:kern w:val="2"/>
                <w:sz w:val="21"/>
                <w:szCs w:val="21"/>
                <w:lang w:val="en-US" w:eastAsia="zh-CN" w:bidi="ar"/>
              </w:rPr>
              <w:t>服务期限</w:t>
            </w:r>
          </w:p>
        </w:tc>
        <w:tc>
          <w:tcPr>
            <w:tcW w:w="684" w:type="pct"/>
            <w:tcBorders>
              <w:top w:val="single" w:color="auto" w:sz="2" w:space="0"/>
              <w:left w:val="nil"/>
              <w:bottom w:val="single" w:color="auto" w:sz="2" w:space="0"/>
              <w:right w:val="single" w:color="auto" w:sz="2" w:space="0"/>
            </w:tcBorders>
            <w:shd w:val="clear" w:color="auto" w:fill="auto"/>
            <w:vAlign w:val="center"/>
          </w:tcPr>
          <w:p w14:paraId="29B0C396">
            <w:pPr>
              <w:keepNext w:val="0"/>
              <w:keepLines w:val="0"/>
              <w:widowControl w:val="0"/>
              <w:suppressLineNumbers w:val="0"/>
              <w:spacing w:before="0" w:beforeAutospacing="0" w:after="0" w:afterAutospacing="0"/>
              <w:ind w:left="0" w:right="0"/>
              <w:jc w:val="center"/>
              <w:rPr>
                <w:rFonts w:hint="default" w:ascii="Calibri" w:hAnsi="Calibri" w:eastAsia="宋体" w:cs="Calibri"/>
                <w:kern w:val="2"/>
                <w:sz w:val="21"/>
                <w:szCs w:val="21"/>
              </w:rPr>
            </w:pPr>
            <w:r>
              <w:rPr>
                <w:rFonts w:hint="eastAsia" w:ascii="宋体" w:hAnsi="宋体" w:eastAsia="宋体" w:cs="宋体"/>
                <w:kern w:val="2"/>
                <w:sz w:val="21"/>
                <w:szCs w:val="21"/>
                <w:lang w:val="en-US" w:eastAsia="zh-CN" w:bidi="ar"/>
              </w:rPr>
              <w:t>服务标准</w:t>
            </w:r>
          </w:p>
        </w:tc>
        <w:tc>
          <w:tcPr>
            <w:tcW w:w="381" w:type="pct"/>
            <w:tcBorders>
              <w:top w:val="single" w:color="auto" w:sz="2" w:space="0"/>
              <w:left w:val="nil"/>
              <w:bottom w:val="single" w:color="auto" w:sz="2" w:space="0"/>
              <w:right w:val="single" w:color="auto" w:sz="2" w:space="0"/>
            </w:tcBorders>
            <w:shd w:val="clear" w:color="auto" w:fill="auto"/>
            <w:vAlign w:val="center"/>
          </w:tcPr>
          <w:p w14:paraId="3AFD99AD">
            <w:pPr>
              <w:keepNext w:val="0"/>
              <w:keepLines w:val="0"/>
              <w:widowControl w:val="0"/>
              <w:suppressLineNumbers w:val="0"/>
              <w:spacing w:before="0" w:beforeAutospacing="0" w:after="0" w:afterAutospacing="0"/>
              <w:ind w:left="0" w:right="0"/>
              <w:jc w:val="center"/>
              <w:rPr>
                <w:rFonts w:hint="default" w:ascii="Calibri" w:hAnsi="Calibri" w:eastAsia="宋体" w:cs="Calibri"/>
                <w:kern w:val="2"/>
                <w:sz w:val="21"/>
                <w:szCs w:val="21"/>
              </w:rPr>
            </w:pPr>
            <w:r>
              <w:rPr>
                <w:rFonts w:hint="eastAsia" w:ascii="宋体" w:hAnsi="宋体" w:eastAsia="宋体" w:cs="宋体"/>
                <w:kern w:val="2"/>
                <w:sz w:val="21"/>
                <w:szCs w:val="21"/>
                <w:lang w:val="en-US" w:eastAsia="zh-CN" w:bidi="ar"/>
              </w:rPr>
              <w:t>单价</w:t>
            </w:r>
          </w:p>
        </w:tc>
        <w:tc>
          <w:tcPr>
            <w:tcW w:w="458" w:type="pct"/>
            <w:tcBorders>
              <w:top w:val="single" w:color="auto" w:sz="2" w:space="0"/>
              <w:left w:val="nil"/>
              <w:bottom w:val="single" w:color="auto" w:sz="2" w:space="0"/>
              <w:right w:val="single" w:color="auto" w:sz="2" w:space="0"/>
            </w:tcBorders>
            <w:shd w:val="clear" w:color="auto" w:fill="auto"/>
            <w:vAlign w:val="center"/>
          </w:tcPr>
          <w:p w14:paraId="34D995FF">
            <w:pPr>
              <w:keepNext w:val="0"/>
              <w:keepLines w:val="0"/>
              <w:widowControl w:val="0"/>
              <w:suppressLineNumbers w:val="0"/>
              <w:spacing w:before="0" w:beforeAutospacing="0" w:after="0" w:afterAutospacing="0"/>
              <w:ind w:left="0" w:right="0"/>
              <w:jc w:val="center"/>
              <w:rPr>
                <w:rFonts w:hint="default" w:ascii="Calibri" w:hAnsi="Calibri" w:eastAsia="宋体" w:cs="Calibri"/>
                <w:kern w:val="2"/>
                <w:sz w:val="21"/>
                <w:szCs w:val="21"/>
              </w:rPr>
            </w:pPr>
            <w:r>
              <w:rPr>
                <w:rFonts w:hint="eastAsia" w:ascii="宋体" w:hAnsi="宋体" w:eastAsia="宋体" w:cs="宋体"/>
                <w:kern w:val="2"/>
                <w:sz w:val="21"/>
                <w:szCs w:val="21"/>
                <w:lang w:val="en-US" w:eastAsia="zh-CN" w:bidi="ar"/>
              </w:rPr>
              <w:t>数量</w:t>
            </w:r>
          </w:p>
        </w:tc>
        <w:tc>
          <w:tcPr>
            <w:tcW w:w="438" w:type="pct"/>
            <w:tcBorders>
              <w:top w:val="single" w:color="auto" w:sz="2" w:space="0"/>
              <w:left w:val="nil"/>
              <w:bottom w:val="single" w:color="auto" w:sz="2" w:space="0"/>
              <w:right w:val="single" w:color="auto" w:sz="2" w:space="0"/>
            </w:tcBorders>
            <w:shd w:val="clear" w:color="auto" w:fill="auto"/>
            <w:vAlign w:val="center"/>
          </w:tcPr>
          <w:p w14:paraId="23B30E25">
            <w:pPr>
              <w:keepNext w:val="0"/>
              <w:keepLines w:val="0"/>
              <w:widowControl w:val="0"/>
              <w:suppressLineNumbers w:val="0"/>
              <w:spacing w:before="0" w:beforeAutospacing="0" w:after="0" w:afterAutospacing="0"/>
              <w:ind w:left="0" w:right="0"/>
              <w:jc w:val="center"/>
              <w:rPr>
                <w:rFonts w:hint="default" w:ascii="Calibri" w:hAnsi="Calibri" w:eastAsia="宋体" w:cs="Calibri"/>
                <w:kern w:val="2"/>
                <w:sz w:val="21"/>
                <w:szCs w:val="21"/>
              </w:rPr>
            </w:pPr>
            <w:r>
              <w:rPr>
                <w:rFonts w:hint="eastAsia" w:ascii="宋体" w:hAnsi="宋体" w:eastAsia="宋体" w:cs="宋体"/>
                <w:kern w:val="2"/>
                <w:sz w:val="21"/>
                <w:szCs w:val="21"/>
                <w:lang w:val="en-US" w:eastAsia="zh-CN" w:bidi="ar"/>
              </w:rPr>
              <w:t>总价</w:t>
            </w:r>
          </w:p>
        </w:tc>
      </w:tr>
      <w:tr w14:paraId="5041DA9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trPr>
        <w:tc>
          <w:tcPr>
            <w:tcW w:w="438" w:type="pct"/>
            <w:tcBorders>
              <w:top w:val="single" w:color="auto" w:sz="2" w:space="0"/>
              <w:left w:val="single" w:color="auto" w:sz="2" w:space="0"/>
              <w:bottom w:val="single" w:color="auto" w:sz="2" w:space="0"/>
              <w:right w:val="single" w:color="auto" w:sz="2" w:space="0"/>
            </w:tcBorders>
            <w:shd w:val="clear" w:color="auto" w:fill="auto"/>
            <w:vAlign w:val="top"/>
          </w:tcPr>
          <w:p w14:paraId="55FE382C">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68" w:type="pct"/>
            <w:tcBorders>
              <w:top w:val="single" w:color="auto" w:sz="2" w:space="0"/>
              <w:left w:val="nil"/>
              <w:bottom w:val="single" w:color="auto" w:sz="2" w:space="0"/>
              <w:right w:val="single" w:color="auto" w:sz="2" w:space="0"/>
            </w:tcBorders>
            <w:shd w:val="clear" w:color="auto" w:fill="auto"/>
            <w:vAlign w:val="top"/>
          </w:tcPr>
          <w:p w14:paraId="4C566F4C">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704" w:type="pct"/>
            <w:tcBorders>
              <w:top w:val="single" w:color="auto" w:sz="2" w:space="0"/>
              <w:left w:val="nil"/>
              <w:bottom w:val="single" w:color="auto" w:sz="2" w:space="0"/>
              <w:right w:val="single" w:color="auto" w:sz="2" w:space="0"/>
            </w:tcBorders>
            <w:shd w:val="clear" w:color="auto" w:fill="auto"/>
            <w:vAlign w:val="top"/>
          </w:tcPr>
          <w:p w14:paraId="401E3939">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11" w:type="pct"/>
            <w:tcBorders>
              <w:top w:val="single" w:color="auto" w:sz="2" w:space="0"/>
              <w:left w:val="nil"/>
              <w:bottom w:val="single" w:color="auto" w:sz="2" w:space="0"/>
              <w:right w:val="single" w:color="auto" w:sz="2" w:space="0"/>
            </w:tcBorders>
            <w:shd w:val="clear" w:color="auto" w:fill="auto"/>
            <w:vAlign w:val="top"/>
          </w:tcPr>
          <w:p w14:paraId="75F79AEF">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10" w:type="pct"/>
            <w:tcBorders>
              <w:top w:val="single" w:color="auto" w:sz="2" w:space="0"/>
              <w:left w:val="nil"/>
              <w:bottom w:val="single" w:color="auto" w:sz="2" w:space="0"/>
              <w:right w:val="single" w:color="auto" w:sz="2" w:space="0"/>
            </w:tcBorders>
            <w:shd w:val="clear" w:color="auto" w:fill="auto"/>
            <w:vAlign w:val="top"/>
          </w:tcPr>
          <w:p w14:paraId="2DEA6BF3">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84" w:type="pct"/>
            <w:tcBorders>
              <w:top w:val="single" w:color="auto" w:sz="2" w:space="0"/>
              <w:left w:val="nil"/>
              <w:bottom w:val="single" w:color="auto" w:sz="2" w:space="0"/>
              <w:right w:val="single" w:color="auto" w:sz="2" w:space="0"/>
            </w:tcBorders>
            <w:shd w:val="clear" w:color="auto" w:fill="auto"/>
            <w:vAlign w:val="top"/>
          </w:tcPr>
          <w:p w14:paraId="6B41E5A4">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381" w:type="pct"/>
            <w:tcBorders>
              <w:top w:val="single" w:color="auto" w:sz="2" w:space="0"/>
              <w:left w:val="nil"/>
              <w:bottom w:val="single" w:color="auto" w:sz="2" w:space="0"/>
              <w:right w:val="single" w:color="auto" w:sz="2" w:space="0"/>
            </w:tcBorders>
            <w:shd w:val="clear" w:color="auto" w:fill="auto"/>
            <w:vAlign w:val="top"/>
          </w:tcPr>
          <w:p w14:paraId="70CAC2E3">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458" w:type="pct"/>
            <w:tcBorders>
              <w:top w:val="single" w:color="auto" w:sz="2" w:space="0"/>
              <w:left w:val="nil"/>
              <w:bottom w:val="single" w:color="auto" w:sz="2" w:space="0"/>
              <w:right w:val="single" w:color="auto" w:sz="2" w:space="0"/>
            </w:tcBorders>
            <w:shd w:val="clear" w:color="auto" w:fill="auto"/>
            <w:vAlign w:val="top"/>
          </w:tcPr>
          <w:p w14:paraId="188BE32A">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438" w:type="pct"/>
            <w:tcBorders>
              <w:top w:val="single" w:color="auto" w:sz="2" w:space="0"/>
              <w:left w:val="nil"/>
              <w:bottom w:val="single" w:color="auto" w:sz="2" w:space="0"/>
              <w:right w:val="single" w:color="auto" w:sz="2" w:space="0"/>
            </w:tcBorders>
            <w:shd w:val="clear" w:color="auto" w:fill="auto"/>
            <w:vAlign w:val="top"/>
          </w:tcPr>
          <w:p w14:paraId="5A1610D7">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r>
      <w:tr w14:paraId="7B0AFD7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trPr>
        <w:tc>
          <w:tcPr>
            <w:tcW w:w="438" w:type="pct"/>
            <w:tcBorders>
              <w:top w:val="single" w:color="auto" w:sz="2" w:space="0"/>
              <w:left w:val="single" w:color="auto" w:sz="2" w:space="0"/>
              <w:bottom w:val="single" w:color="auto" w:sz="2" w:space="0"/>
              <w:right w:val="single" w:color="auto" w:sz="2" w:space="0"/>
            </w:tcBorders>
            <w:shd w:val="clear" w:color="auto" w:fill="auto"/>
            <w:vAlign w:val="top"/>
          </w:tcPr>
          <w:p w14:paraId="705C6A01">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68" w:type="pct"/>
            <w:tcBorders>
              <w:top w:val="single" w:color="auto" w:sz="2" w:space="0"/>
              <w:left w:val="nil"/>
              <w:bottom w:val="single" w:color="auto" w:sz="2" w:space="0"/>
              <w:right w:val="single" w:color="auto" w:sz="2" w:space="0"/>
            </w:tcBorders>
            <w:shd w:val="clear" w:color="auto" w:fill="auto"/>
            <w:vAlign w:val="top"/>
          </w:tcPr>
          <w:p w14:paraId="212FFA88">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704" w:type="pct"/>
            <w:tcBorders>
              <w:top w:val="single" w:color="auto" w:sz="2" w:space="0"/>
              <w:left w:val="nil"/>
              <w:bottom w:val="single" w:color="auto" w:sz="2" w:space="0"/>
              <w:right w:val="single" w:color="auto" w:sz="2" w:space="0"/>
            </w:tcBorders>
            <w:shd w:val="clear" w:color="auto" w:fill="auto"/>
            <w:vAlign w:val="top"/>
          </w:tcPr>
          <w:p w14:paraId="77B8EE1C">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11" w:type="pct"/>
            <w:tcBorders>
              <w:top w:val="single" w:color="auto" w:sz="2" w:space="0"/>
              <w:left w:val="nil"/>
              <w:bottom w:val="single" w:color="auto" w:sz="2" w:space="0"/>
              <w:right w:val="single" w:color="auto" w:sz="2" w:space="0"/>
            </w:tcBorders>
            <w:shd w:val="clear" w:color="auto" w:fill="auto"/>
            <w:vAlign w:val="top"/>
          </w:tcPr>
          <w:p w14:paraId="65D9D1FF">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10" w:type="pct"/>
            <w:tcBorders>
              <w:top w:val="single" w:color="auto" w:sz="2" w:space="0"/>
              <w:left w:val="nil"/>
              <w:bottom w:val="single" w:color="auto" w:sz="2" w:space="0"/>
              <w:right w:val="single" w:color="auto" w:sz="2" w:space="0"/>
            </w:tcBorders>
            <w:shd w:val="clear" w:color="auto" w:fill="auto"/>
            <w:vAlign w:val="top"/>
          </w:tcPr>
          <w:p w14:paraId="6C561138">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84" w:type="pct"/>
            <w:tcBorders>
              <w:top w:val="single" w:color="auto" w:sz="2" w:space="0"/>
              <w:left w:val="nil"/>
              <w:bottom w:val="single" w:color="auto" w:sz="2" w:space="0"/>
              <w:right w:val="single" w:color="auto" w:sz="2" w:space="0"/>
            </w:tcBorders>
            <w:shd w:val="clear" w:color="auto" w:fill="auto"/>
            <w:vAlign w:val="top"/>
          </w:tcPr>
          <w:p w14:paraId="2DE0A7EE">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381" w:type="pct"/>
            <w:tcBorders>
              <w:top w:val="single" w:color="auto" w:sz="2" w:space="0"/>
              <w:left w:val="nil"/>
              <w:bottom w:val="single" w:color="auto" w:sz="2" w:space="0"/>
              <w:right w:val="single" w:color="auto" w:sz="2" w:space="0"/>
            </w:tcBorders>
            <w:shd w:val="clear" w:color="auto" w:fill="auto"/>
            <w:vAlign w:val="top"/>
          </w:tcPr>
          <w:p w14:paraId="1E7BF826">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458" w:type="pct"/>
            <w:tcBorders>
              <w:top w:val="single" w:color="auto" w:sz="2" w:space="0"/>
              <w:left w:val="nil"/>
              <w:bottom w:val="single" w:color="auto" w:sz="2" w:space="0"/>
              <w:right w:val="single" w:color="auto" w:sz="2" w:space="0"/>
            </w:tcBorders>
            <w:shd w:val="clear" w:color="auto" w:fill="auto"/>
            <w:vAlign w:val="top"/>
          </w:tcPr>
          <w:p w14:paraId="10073ADE">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438" w:type="pct"/>
            <w:tcBorders>
              <w:top w:val="single" w:color="auto" w:sz="2" w:space="0"/>
              <w:left w:val="nil"/>
              <w:bottom w:val="single" w:color="auto" w:sz="2" w:space="0"/>
              <w:right w:val="single" w:color="auto" w:sz="2" w:space="0"/>
            </w:tcBorders>
            <w:shd w:val="clear" w:color="auto" w:fill="auto"/>
            <w:vAlign w:val="top"/>
          </w:tcPr>
          <w:p w14:paraId="68B3585D">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r>
      <w:tr w14:paraId="312E89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trPr>
        <w:tc>
          <w:tcPr>
            <w:tcW w:w="438" w:type="pct"/>
            <w:tcBorders>
              <w:top w:val="single" w:color="auto" w:sz="2" w:space="0"/>
              <w:left w:val="single" w:color="auto" w:sz="2" w:space="0"/>
              <w:bottom w:val="single" w:color="auto" w:sz="2" w:space="0"/>
              <w:right w:val="single" w:color="auto" w:sz="2" w:space="0"/>
            </w:tcBorders>
            <w:shd w:val="clear" w:color="auto" w:fill="auto"/>
            <w:vAlign w:val="top"/>
          </w:tcPr>
          <w:p w14:paraId="3425C808">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68" w:type="pct"/>
            <w:tcBorders>
              <w:top w:val="single" w:color="auto" w:sz="2" w:space="0"/>
              <w:left w:val="nil"/>
              <w:bottom w:val="single" w:color="auto" w:sz="2" w:space="0"/>
              <w:right w:val="single" w:color="auto" w:sz="2" w:space="0"/>
            </w:tcBorders>
            <w:shd w:val="clear" w:color="auto" w:fill="auto"/>
            <w:vAlign w:val="top"/>
          </w:tcPr>
          <w:p w14:paraId="6AFB0EC4">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704" w:type="pct"/>
            <w:tcBorders>
              <w:top w:val="single" w:color="auto" w:sz="2" w:space="0"/>
              <w:left w:val="nil"/>
              <w:bottom w:val="single" w:color="auto" w:sz="2" w:space="0"/>
              <w:right w:val="single" w:color="auto" w:sz="2" w:space="0"/>
            </w:tcBorders>
            <w:shd w:val="clear" w:color="auto" w:fill="auto"/>
            <w:vAlign w:val="top"/>
          </w:tcPr>
          <w:p w14:paraId="3BAF4682">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11" w:type="pct"/>
            <w:tcBorders>
              <w:top w:val="single" w:color="auto" w:sz="2" w:space="0"/>
              <w:left w:val="nil"/>
              <w:bottom w:val="single" w:color="auto" w:sz="2" w:space="0"/>
              <w:right w:val="single" w:color="auto" w:sz="2" w:space="0"/>
            </w:tcBorders>
            <w:shd w:val="clear" w:color="auto" w:fill="auto"/>
            <w:vAlign w:val="top"/>
          </w:tcPr>
          <w:p w14:paraId="5989A8B9">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10" w:type="pct"/>
            <w:tcBorders>
              <w:top w:val="single" w:color="auto" w:sz="2" w:space="0"/>
              <w:left w:val="nil"/>
              <w:bottom w:val="single" w:color="auto" w:sz="2" w:space="0"/>
              <w:right w:val="single" w:color="auto" w:sz="2" w:space="0"/>
            </w:tcBorders>
            <w:shd w:val="clear" w:color="auto" w:fill="auto"/>
            <w:vAlign w:val="top"/>
          </w:tcPr>
          <w:p w14:paraId="3E5EF9CC">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84" w:type="pct"/>
            <w:tcBorders>
              <w:top w:val="single" w:color="auto" w:sz="2" w:space="0"/>
              <w:left w:val="nil"/>
              <w:bottom w:val="single" w:color="auto" w:sz="2" w:space="0"/>
              <w:right w:val="single" w:color="auto" w:sz="2" w:space="0"/>
            </w:tcBorders>
            <w:shd w:val="clear" w:color="auto" w:fill="auto"/>
            <w:vAlign w:val="top"/>
          </w:tcPr>
          <w:p w14:paraId="7C37227E">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381" w:type="pct"/>
            <w:tcBorders>
              <w:top w:val="single" w:color="auto" w:sz="2" w:space="0"/>
              <w:left w:val="nil"/>
              <w:bottom w:val="single" w:color="auto" w:sz="2" w:space="0"/>
              <w:right w:val="single" w:color="auto" w:sz="2" w:space="0"/>
            </w:tcBorders>
            <w:shd w:val="clear" w:color="auto" w:fill="auto"/>
            <w:vAlign w:val="top"/>
          </w:tcPr>
          <w:p w14:paraId="7D049EE6">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458" w:type="pct"/>
            <w:tcBorders>
              <w:top w:val="single" w:color="auto" w:sz="2" w:space="0"/>
              <w:left w:val="nil"/>
              <w:bottom w:val="single" w:color="auto" w:sz="2" w:space="0"/>
              <w:right w:val="single" w:color="auto" w:sz="2" w:space="0"/>
            </w:tcBorders>
            <w:shd w:val="clear" w:color="auto" w:fill="auto"/>
            <w:vAlign w:val="top"/>
          </w:tcPr>
          <w:p w14:paraId="38E8CD23">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438" w:type="pct"/>
            <w:tcBorders>
              <w:top w:val="single" w:color="auto" w:sz="2" w:space="0"/>
              <w:left w:val="nil"/>
              <w:bottom w:val="single" w:color="auto" w:sz="2" w:space="0"/>
              <w:right w:val="single" w:color="auto" w:sz="2" w:space="0"/>
            </w:tcBorders>
            <w:shd w:val="clear" w:color="auto" w:fill="auto"/>
            <w:vAlign w:val="top"/>
          </w:tcPr>
          <w:p w14:paraId="2662014F">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r>
      <w:tr w14:paraId="33D09E6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trPr>
        <w:tc>
          <w:tcPr>
            <w:tcW w:w="438" w:type="pct"/>
            <w:tcBorders>
              <w:top w:val="single" w:color="auto" w:sz="2" w:space="0"/>
              <w:left w:val="single" w:color="auto" w:sz="2" w:space="0"/>
              <w:bottom w:val="single" w:color="auto" w:sz="2" w:space="0"/>
              <w:right w:val="single" w:color="auto" w:sz="2" w:space="0"/>
            </w:tcBorders>
            <w:shd w:val="clear" w:color="auto" w:fill="auto"/>
            <w:vAlign w:val="top"/>
          </w:tcPr>
          <w:p w14:paraId="432072ED">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68" w:type="pct"/>
            <w:tcBorders>
              <w:top w:val="single" w:color="auto" w:sz="2" w:space="0"/>
              <w:left w:val="nil"/>
              <w:bottom w:val="single" w:color="auto" w:sz="2" w:space="0"/>
              <w:right w:val="single" w:color="auto" w:sz="2" w:space="0"/>
            </w:tcBorders>
            <w:shd w:val="clear" w:color="auto" w:fill="auto"/>
            <w:vAlign w:val="top"/>
          </w:tcPr>
          <w:p w14:paraId="413210A5">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704" w:type="pct"/>
            <w:tcBorders>
              <w:top w:val="single" w:color="auto" w:sz="2" w:space="0"/>
              <w:left w:val="nil"/>
              <w:bottom w:val="single" w:color="auto" w:sz="2" w:space="0"/>
              <w:right w:val="single" w:color="auto" w:sz="2" w:space="0"/>
            </w:tcBorders>
            <w:shd w:val="clear" w:color="auto" w:fill="auto"/>
            <w:vAlign w:val="top"/>
          </w:tcPr>
          <w:p w14:paraId="50E995AF">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11" w:type="pct"/>
            <w:tcBorders>
              <w:top w:val="single" w:color="auto" w:sz="2" w:space="0"/>
              <w:left w:val="nil"/>
              <w:bottom w:val="single" w:color="auto" w:sz="2" w:space="0"/>
              <w:right w:val="single" w:color="auto" w:sz="2" w:space="0"/>
            </w:tcBorders>
            <w:shd w:val="clear" w:color="auto" w:fill="auto"/>
            <w:vAlign w:val="top"/>
          </w:tcPr>
          <w:p w14:paraId="347FE294">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10" w:type="pct"/>
            <w:tcBorders>
              <w:top w:val="single" w:color="auto" w:sz="2" w:space="0"/>
              <w:left w:val="nil"/>
              <w:bottom w:val="single" w:color="auto" w:sz="2" w:space="0"/>
              <w:right w:val="single" w:color="auto" w:sz="2" w:space="0"/>
            </w:tcBorders>
            <w:shd w:val="clear" w:color="auto" w:fill="auto"/>
            <w:vAlign w:val="top"/>
          </w:tcPr>
          <w:p w14:paraId="1722CE52">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84" w:type="pct"/>
            <w:tcBorders>
              <w:top w:val="single" w:color="auto" w:sz="2" w:space="0"/>
              <w:left w:val="nil"/>
              <w:bottom w:val="single" w:color="auto" w:sz="2" w:space="0"/>
              <w:right w:val="single" w:color="auto" w:sz="2" w:space="0"/>
            </w:tcBorders>
            <w:shd w:val="clear" w:color="auto" w:fill="auto"/>
            <w:vAlign w:val="top"/>
          </w:tcPr>
          <w:p w14:paraId="0F7CB5C8">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381" w:type="pct"/>
            <w:tcBorders>
              <w:top w:val="single" w:color="auto" w:sz="2" w:space="0"/>
              <w:left w:val="nil"/>
              <w:bottom w:val="single" w:color="auto" w:sz="2" w:space="0"/>
              <w:right w:val="single" w:color="auto" w:sz="2" w:space="0"/>
            </w:tcBorders>
            <w:shd w:val="clear" w:color="auto" w:fill="auto"/>
            <w:vAlign w:val="top"/>
          </w:tcPr>
          <w:p w14:paraId="2B809240">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458" w:type="pct"/>
            <w:tcBorders>
              <w:top w:val="single" w:color="auto" w:sz="2" w:space="0"/>
              <w:left w:val="nil"/>
              <w:bottom w:val="single" w:color="auto" w:sz="2" w:space="0"/>
              <w:right w:val="single" w:color="auto" w:sz="2" w:space="0"/>
            </w:tcBorders>
            <w:shd w:val="clear" w:color="auto" w:fill="auto"/>
            <w:vAlign w:val="top"/>
          </w:tcPr>
          <w:p w14:paraId="3967D4CD">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438" w:type="pct"/>
            <w:tcBorders>
              <w:top w:val="single" w:color="auto" w:sz="2" w:space="0"/>
              <w:left w:val="nil"/>
              <w:bottom w:val="single" w:color="auto" w:sz="2" w:space="0"/>
              <w:right w:val="single" w:color="auto" w:sz="2" w:space="0"/>
            </w:tcBorders>
            <w:shd w:val="clear" w:color="auto" w:fill="auto"/>
            <w:vAlign w:val="top"/>
          </w:tcPr>
          <w:p w14:paraId="72D7D6E2">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r>
      <w:tr w14:paraId="19DA2AA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trPr>
        <w:tc>
          <w:tcPr>
            <w:tcW w:w="438" w:type="pct"/>
            <w:tcBorders>
              <w:top w:val="single" w:color="auto" w:sz="2" w:space="0"/>
              <w:left w:val="single" w:color="auto" w:sz="2" w:space="0"/>
              <w:bottom w:val="single" w:color="auto" w:sz="2" w:space="0"/>
              <w:right w:val="single" w:color="auto" w:sz="2" w:space="0"/>
            </w:tcBorders>
            <w:shd w:val="clear" w:color="auto" w:fill="auto"/>
            <w:vAlign w:val="top"/>
          </w:tcPr>
          <w:p w14:paraId="1B1B73FE">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68" w:type="pct"/>
            <w:tcBorders>
              <w:top w:val="single" w:color="auto" w:sz="2" w:space="0"/>
              <w:left w:val="nil"/>
              <w:bottom w:val="single" w:color="auto" w:sz="2" w:space="0"/>
              <w:right w:val="single" w:color="auto" w:sz="2" w:space="0"/>
            </w:tcBorders>
            <w:shd w:val="clear" w:color="auto" w:fill="auto"/>
            <w:vAlign w:val="top"/>
          </w:tcPr>
          <w:p w14:paraId="39EF6914">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704" w:type="pct"/>
            <w:tcBorders>
              <w:top w:val="single" w:color="auto" w:sz="2" w:space="0"/>
              <w:left w:val="nil"/>
              <w:bottom w:val="single" w:color="auto" w:sz="2" w:space="0"/>
              <w:right w:val="single" w:color="auto" w:sz="2" w:space="0"/>
            </w:tcBorders>
            <w:shd w:val="clear" w:color="auto" w:fill="auto"/>
            <w:vAlign w:val="top"/>
          </w:tcPr>
          <w:p w14:paraId="07C35E78">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11" w:type="pct"/>
            <w:tcBorders>
              <w:top w:val="single" w:color="auto" w:sz="2" w:space="0"/>
              <w:left w:val="nil"/>
              <w:bottom w:val="single" w:color="auto" w:sz="2" w:space="0"/>
              <w:right w:val="single" w:color="auto" w:sz="2" w:space="0"/>
            </w:tcBorders>
            <w:shd w:val="clear" w:color="auto" w:fill="auto"/>
            <w:vAlign w:val="top"/>
          </w:tcPr>
          <w:p w14:paraId="7D8B550A">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10" w:type="pct"/>
            <w:tcBorders>
              <w:top w:val="single" w:color="auto" w:sz="2" w:space="0"/>
              <w:left w:val="nil"/>
              <w:bottom w:val="single" w:color="auto" w:sz="2" w:space="0"/>
              <w:right w:val="single" w:color="auto" w:sz="2" w:space="0"/>
            </w:tcBorders>
            <w:shd w:val="clear" w:color="auto" w:fill="auto"/>
            <w:vAlign w:val="top"/>
          </w:tcPr>
          <w:p w14:paraId="2AF72FBD">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84" w:type="pct"/>
            <w:tcBorders>
              <w:top w:val="single" w:color="auto" w:sz="2" w:space="0"/>
              <w:left w:val="nil"/>
              <w:bottom w:val="single" w:color="auto" w:sz="2" w:space="0"/>
              <w:right w:val="single" w:color="auto" w:sz="2" w:space="0"/>
            </w:tcBorders>
            <w:shd w:val="clear" w:color="auto" w:fill="auto"/>
            <w:vAlign w:val="top"/>
          </w:tcPr>
          <w:p w14:paraId="0611351B">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381" w:type="pct"/>
            <w:tcBorders>
              <w:top w:val="single" w:color="auto" w:sz="2" w:space="0"/>
              <w:left w:val="nil"/>
              <w:bottom w:val="single" w:color="auto" w:sz="2" w:space="0"/>
              <w:right w:val="single" w:color="auto" w:sz="2" w:space="0"/>
            </w:tcBorders>
            <w:shd w:val="clear" w:color="auto" w:fill="auto"/>
            <w:vAlign w:val="top"/>
          </w:tcPr>
          <w:p w14:paraId="59B4C9A6">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458" w:type="pct"/>
            <w:tcBorders>
              <w:top w:val="single" w:color="auto" w:sz="2" w:space="0"/>
              <w:left w:val="nil"/>
              <w:bottom w:val="single" w:color="auto" w:sz="2" w:space="0"/>
              <w:right w:val="single" w:color="auto" w:sz="2" w:space="0"/>
            </w:tcBorders>
            <w:shd w:val="clear" w:color="auto" w:fill="auto"/>
            <w:vAlign w:val="top"/>
          </w:tcPr>
          <w:p w14:paraId="64DD0328">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438" w:type="pct"/>
            <w:tcBorders>
              <w:top w:val="single" w:color="auto" w:sz="2" w:space="0"/>
              <w:left w:val="nil"/>
              <w:bottom w:val="single" w:color="auto" w:sz="2" w:space="0"/>
              <w:right w:val="single" w:color="auto" w:sz="2" w:space="0"/>
            </w:tcBorders>
            <w:shd w:val="clear" w:color="auto" w:fill="auto"/>
            <w:vAlign w:val="top"/>
          </w:tcPr>
          <w:p w14:paraId="01AF5BD9">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r>
      <w:tr w14:paraId="35CEA63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trPr>
        <w:tc>
          <w:tcPr>
            <w:tcW w:w="438" w:type="pct"/>
            <w:tcBorders>
              <w:top w:val="single" w:color="auto" w:sz="2" w:space="0"/>
              <w:left w:val="single" w:color="auto" w:sz="2" w:space="0"/>
              <w:bottom w:val="single" w:color="auto" w:sz="2" w:space="0"/>
              <w:right w:val="single" w:color="auto" w:sz="2" w:space="0"/>
            </w:tcBorders>
            <w:shd w:val="clear" w:color="auto" w:fill="auto"/>
            <w:vAlign w:val="top"/>
          </w:tcPr>
          <w:p w14:paraId="68713990">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68" w:type="pct"/>
            <w:tcBorders>
              <w:top w:val="single" w:color="auto" w:sz="2" w:space="0"/>
              <w:left w:val="nil"/>
              <w:bottom w:val="single" w:color="auto" w:sz="2" w:space="0"/>
              <w:right w:val="single" w:color="auto" w:sz="2" w:space="0"/>
            </w:tcBorders>
            <w:shd w:val="clear" w:color="auto" w:fill="auto"/>
            <w:vAlign w:val="top"/>
          </w:tcPr>
          <w:p w14:paraId="23151D4E">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704" w:type="pct"/>
            <w:tcBorders>
              <w:top w:val="single" w:color="auto" w:sz="2" w:space="0"/>
              <w:left w:val="nil"/>
              <w:bottom w:val="single" w:color="auto" w:sz="2" w:space="0"/>
              <w:right w:val="single" w:color="auto" w:sz="2" w:space="0"/>
            </w:tcBorders>
            <w:shd w:val="clear" w:color="auto" w:fill="auto"/>
            <w:vAlign w:val="top"/>
          </w:tcPr>
          <w:p w14:paraId="088EB8A2">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11" w:type="pct"/>
            <w:tcBorders>
              <w:top w:val="single" w:color="auto" w:sz="2" w:space="0"/>
              <w:left w:val="nil"/>
              <w:bottom w:val="single" w:color="auto" w:sz="2" w:space="0"/>
              <w:right w:val="single" w:color="auto" w:sz="2" w:space="0"/>
            </w:tcBorders>
            <w:shd w:val="clear" w:color="auto" w:fill="auto"/>
            <w:vAlign w:val="top"/>
          </w:tcPr>
          <w:p w14:paraId="15FCAEAB">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10" w:type="pct"/>
            <w:tcBorders>
              <w:top w:val="single" w:color="auto" w:sz="2" w:space="0"/>
              <w:left w:val="nil"/>
              <w:bottom w:val="single" w:color="auto" w:sz="2" w:space="0"/>
              <w:right w:val="single" w:color="auto" w:sz="2" w:space="0"/>
            </w:tcBorders>
            <w:shd w:val="clear" w:color="auto" w:fill="auto"/>
            <w:vAlign w:val="top"/>
          </w:tcPr>
          <w:p w14:paraId="7E9FFD3B">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84" w:type="pct"/>
            <w:tcBorders>
              <w:top w:val="single" w:color="auto" w:sz="2" w:space="0"/>
              <w:left w:val="nil"/>
              <w:bottom w:val="single" w:color="auto" w:sz="2" w:space="0"/>
              <w:right w:val="single" w:color="auto" w:sz="2" w:space="0"/>
            </w:tcBorders>
            <w:shd w:val="clear" w:color="auto" w:fill="auto"/>
            <w:vAlign w:val="top"/>
          </w:tcPr>
          <w:p w14:paraId="516DD4F7">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381" w:type="pct"/>
            <w:tcBorders>
              <w:top w:val="single" w:color="auto" w:sz="2" w:space="0"/>
              <w:left w:val="nil"/>
              <w:bottom w:val="single" w:color="auto" w:sz="2" w:space="0"/>
              <w:right w:val="single" w:color="auto" w:sz="2" w:space="0"/>
            </w:tcBorders>
            <w:shd w:val="clear" w:color="auto" w:fill="auto"/>
            <w:vAlign w:val="top"/>
          </w:tcPr>
          <w:p w14:paraId="0D869F92">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458" w:type="pct"/>
            <w:tcBorders>
              <w:top w:val="single" w:color="auto" w:sz="2" w:space="0"/>
              <w:left w:val="nil"/>
              <w:bottom w:val="single" w:color="auto" w:sz="2" w:space="0"/>
              <w:right w:val="single" w:color="auto" w:sz="2" w:space="0"/>
            </w:tcBorders>
            <w:shd w:val="clear" w:color="auto" w:fill="auto"/>
            <w:vAlign w:val="top"/>
          </w:tcPr>
          <w:p w14:paraId="5B1D59FF">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438" w:type="pct"/>
            <w:tcBorders>
              <w:top w:val="single" w:color="auto" w:sz="2" w:space="0"/>
              <w:left w:val="nil"/>
              <w:bottom w:val="single" w:color="auto" w:sz="2" w:space="0"/>
              <w:right w:val="single" w:color="auto" w:sz="2" w:space="0"/>
            </w:tcBorders>
            <w:shd w:val="clear" w:color="auto" w:fill="auto"/>
            <w:vAlign w:val="top"/>
          </w:tcPr>
          <w:p w14:paraId="1A44B3D8">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r>
      <w:tr w14:paraId="17DCCB4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trPr>
        <w:tc>
          <w:tcPr>
            <w:tcW w:w="438" w:type="pct"/>
            <w:tcBorders>
              <w:top w:val="single" w:color="auto" w:sz="2" w:space="0"/>
              <w:left w:val="single" w:color="auto" w:sz="2" w:space="0"/>
              <w:bottom w:val="single" w:color="auto" w:sz="2" w:space="0"/>
              <w:right w:val="single" w:color="auto" w:sz="2" w:space="0"/>
            </w:tcBorders>
            <w:shd w:val="clear" w:color="auto" w:fill="auto"/>
            <w:vAlign w:val="top"/>
          </w:tcPr>
          <w:p w14:paraId="60A1CC01">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68" w:type="pct"/>
            <w:tcBorders>
              <w:top w:val="single" w:color="auto" w:sz="2" w:space="0"/>
              <w:left w:val="nil"/>
              <w:bottom w:val="single" w:color="auto" w:sz="2" w:space="0"/>
              <w:right w:val="single" w:color="auto" w:sz="2" w:space="0"/>
            </w:tcBorders>
            <w:shd w:val="clear" w:color="auto" w:fill="auto"/>
            <w:vAlign w:val="top"/>
          </w:tcPr>
          <w:p w14:paraId="43915BD8">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704" w:type="pct"/>
            <w:tcBorders>
              <w:top w:val="single" w:color="auto" w:sz="2" w:space="0"/>
              <w:left w:val="nil"/>
              <w:bottom w:val="single" w:color="auto" w:sz="2" w:space="0"/>
              <w:right w:val="single" w:color="auto" w:sz="2" w:space="0"/>
            </w:tcBorders>
            <w:shd w:val="clear" w:color="auto" w:fill="auto"/>
            <w:vAlign w:val="top"/>
          </w:tcPr>
          <w:p w14:paraId="118726F6">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11" w:type="pct"/>
            <w:tcBorders>
              <w:top w:val="single" w:color="auto" w:sz="2" w:space="0"/>
              <w:left w:val="nil"/>
              <w:bottom w:val="single" w:color="auto" w:sz="2" w:space="0"/>
              <w:right w:val="single" w:color="auto" w:sz="2" w:space="0"/>
            </w:tcBorders>
            <w:shd w:val="clear" w:color="auto" w:fill="auto"/>
            <w:vAlign w:val="top"/>
          </w:tcPr>
          <w:p w14:paraId="607CCD99">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10" w:type="pct"/>
            <w:tcBorders>
              <w:top w:val="single" w:color="auto" w:sz="2" w:space="0"/>
              <w:left w:val="nil"/>
              <w:bottom w:val="single" w:color="auto" w:sz="2" w:space="0"/>
              <w:right w:val="single" w:color="auto" w:sz="2" w:space="0"/>
            </w:tcBorders>
            <w:shd w:val="clear" w:color="auto" w:fill="auto"/>
            <w:vAlign w:val="top"/>
          </w:tcPr>
          <w:p w14:paraId="2B66F45A">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684" w:type="pct"/>
            <w:tcBorders>
              <w:top w:val="single" w:color="auto" w:sz="2" w:space="0"/>
              <w:left w:val="nil"/>
              <w:bottom w:val="single" w:color="auto" w:sz="2" w:space="0"/>
              <w:right w:val="single" w:color="auto" w:sz="2" w:space="0"/>
            </w:tcBorders>
            <w:shd w:val="clear" w:color="auto" w:fill="auto"/>
            <w:vAlign w:val="top"/>
          </w:tcPr>
          <w:p w14:paraId="0A8870F2">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381" w:type="pct"/>
            <w:tcBorders>
              <w:top w:val="single" w:color="auto" w:sz="2" w:space="0"/>
              <w:left w:val="nil"/>
              <w:bottom w:val="single" w:color="auto" w:sz="2" w:space="0"/>
              <w:right w:val="single" w:color="auto" w:sz="2" w:space="0"/>
            </w:tcBorders>
            <w:shd w:val="clear" w:color="auto" w:fill="auto"/>
            <w:vAlign w:val="top"/>
          </w:tcPr>
          <w:p w14:paraId="3AA39EB4">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458" w:type="pct"/>
            <w:tcBorders>
              <w:top w:val="single" w:color="auto" w:sz="2" w:space="0"/>
              <w:left w:val="nil"/>
              <w:bottom w:val="single" w:color="auto" w:sz="2" w:space="0"/>
              <w:right w:val="single" w:color="auto" w:sz="2" w:space="0"/>
            </w:tcBorders>
            <w:shd w:val="clear" w:color="auto" w:fill="auto"/>
            <w:vAlign w:val="top"/>
          </w:tcPr>
          <w:p w14:paraId="35C83278">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c>
          <w:tcPr>
            <w:tcW w:w="438" w:type="pct"/>
            <w:tcBorders>
              <w:top w:val="single" w:color="auto" w:sz="2" w:space="0"/>
              <w:left w:val="nil"/>
              <w:bottom w:val="single" w:color="auto" w:sz="2" w:space="0"/>
              <w:right w:val="single" w:color="auto" w:sz="2" w:space="0"/>
            </w:tcBorders>
            <w:shd w:val="clear" w:color="auto" w:fill="auto"/>
            <w:vAlign w:val="top"/>
          </w:tcPr>
          <w:p w14:paraId="3B83BC66">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r>
      <w:tr w14:paraId="7A0CE62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trPr>
        <w:tc>
          <w:tcPr>
            <w:tcW w:w="4561" w:type="pct"/>
            <w:gridSpan w:val="8"/>
            <w:tcBorders>
              <w:top w:val="single" w:color="auto" w:sz="2" w:space="0"/>
              <w:left w:val="single" w:color="auto" w:sz="2" w:space="0"/>
              <w:bottom w:val="single" w:color="auto" w:sz="2" w:space="0"/>
              <w:right w:val="single" w:color="auto" w:sz="2" w:space="0"/>
            </w:tcBorders>
            <w:shd w:val="clear" w:color="auto" w:fill="auto"/>
            <w:vAlign w:val="top"/>
          </w:tcPr>
          <w:p w14:paraId="03880716">
            <w:pPr>
              <w:keepNext w:val="0"/>
              <w:keepLines w:val="0"/>
              <w:widowControl w:val="0"/>
              <w:suppressLineNumbers w:val="0"/>
              <w:spacing w:before="0" w:beforeAutospacing="0" w:after="0" w:afterAutospacing="0"/>
              <w:ind w:left="0" w:right="0"/>
              <w:jc w:val="center"/>
              <w:rPr>
                <w:rFonts w:hint="default" w:ascii="Calibri" w:hAnsi="Calibri" w:eastAsia="宋体" w:cs="Calibri"/>
                <w:kern w:val="2"/>
                <w:sz w:val="21"/>
                <w:szCs w:val="21"/>
              </w:rPr>
            </w:pPr>
            <w:r>
              <w:rPr>
                <w:rFonts w:hint="eastAsia" w:ascii="宋体" w:hAnsi="宋体" w:eastAsia="宋体" w:cs="宋体"/>
                <w:kern w:val="2"/>
                <w:sz w:val="21"/>
                <w:szCs w:val="21"/>
                <w:lang w:val="en-US" w:eastAsia="zh-CN" w:bidi="ar"/>
              </w:rPr>
              <w:t>报价汇总</w:t>
            </w:r>
          </w:p>
        </w:tc>
        <w:tc>
          <w:tcPr>
            <w:tcW w:w="438" w:type="pct"/>
            <w:tcBorders>
              <w:top w:val="single" w:color="auto" w:sz="2" w:space="0"/>
              <w:left w:val="nil"/>
              <w:bottom w:val="single" w:color="auto" w:sz="2" w:space="0"/>
              <w:right w:val="single" w:color="auto" w:sz="2" w:space="0"/>
            </w:tcBorders>
            <w:shd w:val="clear" w:color="auto" w:fill="auto"/>
            <w:vAlign w:val="top"/>
          </w:tcPr>
          <w:p w14:paraId="50B60A1F">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rPr>
            </w:pPr>
          </w:p>
        </w:tc>
      </w:tr>
    </w:tbl>
    <w:p w14:paraId="28018030">
      <w:pPr>
        <w:pStyle w:val="11"/>
        <w:keepNext w:val="0"/>
        <w:keepLines w:val="0"/>
        <w:widowControl/>
        <w:suppressLineNumbers w:val="0"/>
        <w:spacing w:before="0" w:beforeAutospacing="0" w:after="0" w:afterAutospacing="0" w:line="480" w:lineRule="exact"/>
        <w:ind w:left="720" w:right="0" w:hanging="720"/>
        <w:jc w:val="center"/>
        <w:rPr>
          <w:rFonts w:hint="eastAsia" w:ascii="宋体" w:hAnsi="宋体" w:eastAsia="宋体" w:cs="Courier New"/>
          <w:b/>
          <w:bCs w:val="0"/>
          <w:iCs/>
          <w:color w:val="000000"/>
          <w:kern w:val="2"/>
          <w:sz w:val="24"/>
          <w:szCs w:val="24"/>
        </w:rPr>
      </w:pPr>
      <w:r>
        <w:rPr>
          <w:rFonts w:hint="eastAsia" w:ascii="宋体" w:hAnsi="宋体" w:eastAsia="宋体" w:cs="Courier New"/>
          <w:b/>
          <w:bCs w:val="0"/>
          <w:iCs/>
          <w:color w:val="000000"/>
          <w:kern w:val="2"/>
          <w:sz w:val="24"/>
          <w:szCs w:val="24"/>
          <w:lang w:val="en-US" w:eastAsia="zh-CN" w:bidi="ar"/>
        </w:rPr>
        <w:t xml:space="preserve"> </w:t>
      </w:r>
    </w:p>
    <w:p w14:paraId="4BF6377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 </w:t>
      </w:r>
    </w:p>
    <w:p w14:paraId="30168F43">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供应商名称：</w:t>
      </w:r>
      <w:r>
        <w:rPr>
          <w:rFonts w:hint="eastAsia" w:ascii="宋体" w:hAnsi="宋体" w:eastAsia="宋体" w:cs="宋体"/>
          <w:color w:val="000000"/>
          <w:kern w:val="2"/>
          <w:sz w:val="21"/>
          <w:szCs w:val="21"/>
          <w:u w:val="single"/>
          <w:lang w:val="en-US" w:eastAsia="zh-CN" w:bidi="ar"/>
        </w:rPr>
        <w:t xml:space="preserve">      （加盖公章）    </w:t>
      </w:r>
    </w:p>
    <w:p w14:paraId="55781112">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供应商法定代表人（或其授权代表）：</w:t>
      </w:r>
      <w:r>
        <w:rPr>
          <w:rFonts w:hint="eastAsia" w:ascii="宋体" w:hAnsi="宋体" w:eastAsia="宋体" w:cs="宋体"/>
          <w:color w:val="000000"/>
          <w:kern w:val="2"/>
          <w:sz w:val="21"/>
          <w:szCs w:val="21"/>
          <w:u w:val="single"/>
          <w:lang w:val="en-US" w:eastAsia="zh-CN" w:bidi="ar"/>
        </w:rPr>
        <w:t xml:space="preserve">  （签字或盖章）    </w:t>
      </w:r>
    </w:p>
    <w:p w14:paraId="498387F5">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b/>
          <w:bCs w:val="0"/>
          <w:color w:val="000000"/>
          <w:kern w:val="2"/>
          <w:sz w:val="21"/>
          <w:szCs w:val="21"/>
        </w:rPr>
      </w:pPr>
      <w:r>
        <w:rPr>
          <w:rFonts w:hint="eastAsia" w:ascii="宋体" w:hAnsi="宋体" w:eastAsia="宋体" w:cs="宋体"/>
          <w:color w:val="000000"/>
          <w:kern w:val="2"/>
          <w:sz w:val="21"/>
          <w:szCs w:val="21"/>
          <w:lang w:val="en-US" w:eastAsia="zh-CN" w:bidi="ar"/>
        </w:rPr>
        <w:t>日期：    年   月    日</w:t>
      </w:r>
    </w:p>
    <w:p w14:paraId="067374E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 </w:t>
      </w:r>
    </w:p>
    <w:p w14:paraId="653C4A4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注：报价汇总须与报价一览表的对应项一致，如不一致以报价一览表为准。</w:t>
      </w:r>
    </w:p>
    <w:p w14:paraId="1B1E221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_x000B__x000C_">
    <w:altName w:val="Times New Roman"/>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56B31">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AF696">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32755">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FB98AF"/>
    <w:multiLevelType w:val="multilevel"/>
    <w:tmpl w:val="89FB98AF"/>
    <w:lvl w:ilvl="0" w:tentative="0">
      <w:start w:val="1"/>
      <w:numFmt w:val="decimal"/>
      <w:suff w:val="nothing"/>
      <w:lvlText w:val="%1"/>
      <w:lvlJc w:val="left"/>
      <w:pPr>
        <w:ind w:left="420" w:hanging="420"/>
      </w:pPr>
      <w:rPr>
        <w:rFonts w:hint="eastAsia" w:ascii="宋体" w:hAnsi="宋体" w:eastAsia="宋体" w:cs="宋体"/>
      </w:rPr>
    </w:lvl>
    <w:lvl w:ilvl="1" w:tentative="0">
      <w:start w:val="1"/>
      <w:numFmt w:val="lowerLetter"/>
      <w:lvlText w:val="%2)"/>
      <w:lvlJc w:val="left"/>
      <w:pPr>
        <w:ind w:left="840" w:hanging="420"/>
      </w:pPr>
      <w:rPr>
        <w:rFonts w:hint="eastAsia" w:ascii="宋体" w:hAnsi="宋体" w:eastAsia="宋体" w:cs="宋体"/>
      </w:rPr>
    </w:lvl>
    <w:lvl w:ilvl="2" w:tentative="0">
      <w:start w:val="1"/>
      <w:numFmt w:val="lowerRoman"/>
      <w:lvlText w:val="%3."/>
      <w:lvlJc w:val="right"/>
      <w:pPr>
        <w:ind w:left="1260" w:hanging="420"/>
      </w:pPr>
      <w:rPr>
        <w:rFonts w:hint="eastAsia" w:ascii="宋体" w:hAnsi="宋体" w:eastAsia="宋体" w:cs="宋体"/>
      </w:rPr>
    </w:lvl>
    <w:lvl w:ilvl="3" w:tentative="0">
      <w:start w:val="1"/>
      <w:numFmt w:val="decimal"/>
      <w:lvlText w:val="%4."/>
      <w:lvlJc w:val="left"/>
      <w:pPr>
        <w:ind w:left="1680" w:hanging="420"/>
      </w:pPr>
      <w:rPr>
        <w:rFonts w:hint="eastAsia" w:ascii="宋体" w:hAnsi="宋体" w:eastAsia="宋体" w:cs="宋体"/>
      </w:rPr>
    </w:lvl>
    <w:lvl w:ilvl="4" w:tentative="0">
      <w:start w:val="1"/>
      <w:numFmt w:val="lowerLetter"/>
      <w:lvlText w:val="%5)"/>
      <w:lvlJc w:val="left"/>
      <w:pPr>
        <w:ind w:left="2100" w:hanging="420"/>
      </w:pPr>
      <w:rPr>
        <w:rFonts w:hint="eastAsia" w:ascii="宋体" w:hAnsi="宋体" w:eastAsia="宋体" w:cs="宋体"/>
      </w:rPr>
    </w:lvl>
    <w:lvl w:ilvl="5" w:tentative="0">
      <w:start w:val="1"/>
      <w:numFmt w:val="lowerRoman"/>
      <w:lvlText w:val="%6."/>
      <w:lvlJc w:val="right"/>
      <w:pPr>
        <w:ind w:left="2520" w:hanging="420"/>
      </w:pPr>
      <w:rPr>
        <w:rFonts w:hint="eastAsia" w:ascii="宋体" w:hAnsi="宋体" w:eastAsia="宋体" w:cs="宋体"/>
      </w:rPr>
    </w:lvl>
    <w:lvl w:ilvl="6" w:tentative="0">
      <w:start w:val="1"/>
      <w:numFmt w:val="decimal"/>
      <w:lvlText w:val="%7."/>
      <w:lvlJc w:val="left"/>
      <w:pPr>
        <w:ind w:left="2940" w:hanging="420"/>
      </w:pPr>
      <w:rPr>
        <w:rFonts w:hint="eastAsia" w:ascii="宋体" w:hAnsi="宋体" w:eastAsia="宋体" w:cs="宋体"/>
      </w:rPr>
    </w:lvl>
    <w:lvl w:ilvl="7" w:tentative="0">
      <w:start w:val="1"/>
      <w:numFmt w:val="lowerLetter"/>
      <w:lvlText w:val="%8)"/>
      <w:lvlJc w:val="left"/>
      <w:pPr>
        <w:ind w:left="3360" w:hanging="420"/>
      </w:pPr>
      <w:rPr>
        <w:rFonts w:hint="eastAsia" w:ascii="宋体" w:hAnsi="宋体" w:eastAsia="宋体" w:cs="宋体"/>
      </w:rPr>
    </w:lvl>
    <w:lvl w:ilvl="8" w:tentative="0">
      <w:start w:val="1"/>
      <w:numFmt w:val="lowerRoman"/>
      <w:lvlText w:val="%9."/>
      <w:lvlJc w:val="right"/>
      <w:pPr>
        <w:ind w:left="3780" w:hanging="420"/>
      </w:pPr>
      <w:rPr>
        <w:rFonts w:hint="eastAsia" w:ascii="宋体" w:hAnsi="宋体" w:eastAsia="宋体" w:cs="宋体"/>
      </w:rPr>
    </w:lvl>
  </w:abstractNum>
  <w:abstractNum w:abstractNumId="1">
    <w:nsid w:val="94E17959"/>
    <w:multiLevelType w:val="multilevel"/>
    <w:tmpl w:val="94E17959"/>
    <w:lvl w:ilvl="0" w:tentative="0">
      <w:start w:val="1"/>
      <w:numFmt w:val="decimal"/>
      <w:lvlText w:val="%1"/>
      <w:lvlJc w:val="right"/>
      <w:pPr>
        <w:ind w:left="562" w:hanging="420"/>
      </w:pPr>
      <w:rPr>
        <w:rFonts w:hint="eastAsia" w:ascii="宋体" w:hAnsi="宋体" w:eastAsia="宋体" w:cs="宋体"/>
      </w:rPr>
    </w:lvl>
    <w:lvl w:ilvl="1" w:tentative="0">
      <w:start w:val="1"/>
      <w:numFmt w:val="lowerLetter"/>
      <w:lvlText w:val="%2)"/>
      <w:lvlJc w:val="left"/>
      <w:pPr>
        <w:ind w:left="1260" w:hanging="420"/>
      </w:pPr>
      <w:rPr>
        <w:rFonts w:hint="default" w:ascii="Times New Roman" w:hAnsi="Times New Roman" w:cs="Times New Roman"/>
      </w:rPr>
    </w:lvl>
    <w:lvl w:ilvl="2" w:tentative="0">
      <w:start w:val="1"/>
      <w:numFmt w:val="lowerRoman"/>
      <w:lvlText w:val="%3."/>
      <w:lvlJc w:val="right"/>
      <w:pPr>
        <w:ind w:left="1680" w:hanging="420"/>
      </w:pPr>
      <w:rPr>
        <w:rFonts w:hint="default" w:ascii="Times New Roman" w:hAnsi="Times New Roman" w:cs="Times New Roman"/>
      </w:rPr>
    </w:lvl>
    <w:lvl w:ilvl="3" w:tentative="0">
      <w:start w:val="1"/>
      <w:numFmt w:val="decimal"/>
      <w:lvlText w:val="%4."/>
      <w:lvlJc w:val="left"/>
      <w:pPr>
        <w:ind w:left="2100" w:hanging="420"/>
      </w:pPr>
      <w:rPr>
        <w:rFonts w:hint="default" w:ascii="Times New Roman" w:hAnsi="Times New Roman" w:cs="Times New Roman"/>
      </w:rPr>
    </w:lvl>
    <w:lvl w:ilvl="4" w:tentative="0">
      <w:start w:val="1"/>
      <w:numFmt w:val="lowerLetter"/>
      <w:lvlText w:val="%5)"/>
      <w:lvlJc w:val="left"/>
      <w:pPr>
        <w:ind w:left="2520" w:hanging="420"/>
      </w:pPr>
      <w:rPr>
        <w:rFonts w:hint="default" w:ascii="Times New Roman" w:hAnsi="Times New Roman" w:cs="Times New Roman"/>
      </w:rPr>
    </w:lvl>
    <w:lvl w:ilvl="5" w:tentative="0">
      <w:start w:val="1"/>
      <w:numFmt w:val="lowerRoman"/>
      <w:lvlText w:val="%6."/>
      <w:lvlJc w:val="right"/>
      <w:pPr>
        <w:ind w:left="2940" w:hanging="420"/>
      </w:pPr>
      <w:rPr>
        <w:rFonts w:hint="default" w:ascii="Times New Roman" w:hAnsi="Times New Roman" w:cs="Times New Roman"/>
      </w:rPr>
    </w:lvl>
    <w:lvl w:ilvl="6" w:tentative="0">
      <w:start w:val="1"/>
      <w:numFmt w:val="decimal"/>
      <w:lvlText w:val="%7."/>
      <w:lvlJc w:val="left"/>
      <w:pPr>
        <w:ind w:left="3360" w:hanging="420"/>
      </w:pPr>
      <w:rPr>
        <w:rFonts w:hint="default" w:ascii="Times New Roman" w:hAnsi="Times New Roman" w:cs="Times New Roman"/>
      </w:rPr>
    </w:lvl>
    <w:lvl w:ilvl="7" w:tentative="0">
      <w:start w:val="1"/>
      <w:numFmt w:val="lowerLetter"/>
      <w:lvlText w:val="%8)"/>
      <w:lvlJc w:val="left"/>
      <w:pPr>
        <w:ind w:left="3780" w:hanging="420"/>
      </w:pPr>
      <w:rPr>
        <w:rFonts w:hint="default" w:ascii="Times New Roman" w:hAnsi="Times New Roman" w:cs="Times New Roman"/>
      </w:rPr>
    </w:lvl>
    <w:lvl w:ilvl="8" w:tentative="0">
      <w:start w:val="1"/>
      <w:numFmt w:val="lowerRoman"/>
      <w:lvlText w:val="%9."/>
      <w:lvlJc w:val="right"/>
      <w:pPr>
        <w:ind w:left="4200" w:hanging="420"/>
      </w:pPr>
      <w:rPr>
        <w:rFonts w:hint="default" w:ascii="Times New Roman" w:hAnsi="Times New Roman" w:cs="Times New Roman"/>
      </w:rPr>
    </w:lvl>
  </w:abstractNum>
  <w:abstractNum w:abstractNumId="2">
    <w:nsid w:val="D1A9DE35"/>
    <w:multiLevelType w:val="multilevel"/>
    <w:tmpl w:val="D1A9DE35"/>
    <w:lvl w:ilvl="0" w:tentative="0">
      <w:start w:val="1"/>
      <w:numFmt w:val="chineseCountingThousand"/>
      <w:lvlText w:val="%1、"/>
      <w:lvlJc w:val="left"/>
      <w:pPr>
        <w:ind w:left="425" w:hanging="425"/>
      </w:pPr>
      <w:rPr>
        <w:rFonts w:hint="eastAsia" w:ascii="宋体" w:hAnsi="宋体" w:eastAsia="宋体" w:cs="宋体"/>
        <w:sz w:val="24"/>
        <w:szCs w:val="24"/>
      </w:rPr>
    </w:lvl>
    <w:lvl w:ilvl="1" w:tentative="0">
      <w:start w:val="1"/>
      <w:numFmt w:val="chineseCountingThousand"/>
      <w:lvlText w:val="（%2）"/>
      <w:lvlJc w:val="left"/>
      <w:pPr>
        <w:ind w:left="424" w:hanging="567"/>
      </w:pPr>
      <w:rPr>
        <w:rFonts w:hint="eastAsia" w:ascii="宋体" w:hAnsi="宋体" w:eastAsia="宋体" w:cs="宋体"/>
        <w:sz w:val="24"/>
        <w:szCs w:val="24"/>
      </w:rPr>
    </w:lvl>
    <w:lvl w:ilvl="2" w:tentative="0">
      <w:start w:val="1"/>
      <w:numFmt w:val="decimal"/>
      <w:lvlText w:val="%3."/>
      <w:lvlJc w:val="left"/>
      <w:pPr>
        <w:ind w:left="425" w:hanging="567"/>
      </w:pPr>
      <w:rPr>
        <w:rFonts w:hint="eastAsia" w:ascii="宋体" w:hAnsi="宋体" w:eastAsia="宋体" w:cs="宋体"/>
      </w:rPr>
    </w:lvl>
    <w:lvl w:ilvl="3" w:tentative="0">
      <w:start w:val="1"/>
      <w:numFmt w:val="decimal"/>
      <w:lvlText w:val="(%4)"/>
      <w:lvlJc w:val="left"/>
      <w:pPr>
        <w:ind w:left="1416" w:hanging="708"/>
      </w:pPr>
      <w:rPr>
        <w:rFonts w:hint="eastAsia" w:ascii="宋体" w:hAnsi="宋体" w:eastAsia="宋体" w:cs="宋体"/>
      </w:rPr>
    </w:lvl>
    <w:lvl w:ilvl="4" w:tentative="0">
      <w:start w:val="1"/>
      <w:numFmt w:val="decimal"/>
      <w:lvlText w:val="%1.%2.%3.%4.%5"/>
      <w:lvlJc w:val="left"/>
      <w:pPr>
        <w:ind w:left="1983" w:hanging="850"/>
      </w:pPr>
      <w:rPr>
        <w:rFonts w:hint="eastAsia" w:ascii="宋体" w:hAnsi="宋体" w:eastAsia="宋体" w:cs="宋体"/>
      </w:rPr>
    </w:lvl>
    <w:lvl w:ilvl="5" w:tentative="0">
      <w:start w:val="1"/>
      <w:numFmt w:val="decimal"/>
      <w:lvlText w:val="%1.%2.%3.%4.%5.%6"/>
      <w:lvlJc w:val="left"/>
      <w:pPr>
        <w:ind w:left="2692" w:hanging="1134"/>
      </w:pPr>
      <w:rPr>
        <w:rFonts w:hint="eastAsia" w:ascii="宋体" w:hAnsi="宋体" w:eastAsia="宋体" w:cs="宋体"/>
      </w:rPr>
    </w:lvl>
    <w:lvl w:ilvl="6" w:tentative="0">
      <w:start w:val="1"/>
      <w:numFmt w:val="decimal"/>
      <w:lvlText w:val="%1.%2.%3.%4.%5.%6.%7"/>
      <w:lvlJc w:val="left"/>
      <w:pPr>
        <w:ind w:left="3259" w:hanging="1276"/>
      </w:pPr>
      <w:rPr>
        <w:rFonts w:hint="eastAsia" w:ascii="宋体" w:hAnsi="宋体" w:eastAsia="宋体" w:cs="宋体"/>
      </w:rPr>
    </w:lvl>
    <w:lvl w:ilvl="7" w:tentative="0">
      <w:start w:val="1"/>
      <w:numFmt w:val="decimal"/>
      <w:lvlText w:val="%1.%2.%3.%4.%5.%6.%7.%8"/>
      <w:lvlJc w:val="left"/>
      <w:pPr>
        <w:ind w:left="3826" w:hanging="1418"/>
      </w:pPr>
      <w:rPr>
        <w:rFonts w:hint="eastAsia" w:ascii="宋体" w:hAnsi="宋体" w:eastAsia="宋体" w:cs="宋体"/>
      </w:rPr>
    </w:lvl>
    <w:lvl w:ilvl="8" w:tentative="0">
      <w:start w:val="1"/>
      <w:numFmt w:val="decimal"/>
      <w:lvlText w:val="%1.%2.%3.%4.%5.%6.%7.%8.%9"/>
      <w:lvlJc w:val="left"/>
      <w:pPr>
        <w:ind w:left="4534" w:hanging="1700"/>
      </w:pPr>
      <w:rPr>
        <w:rFonts w:hint="eastAsia" w:ascii="宋体" w:hAnsi="宋体" w:eastAsia="宋体" w:cs="宋体"/>
      </w:rPr>
    </w:lvl>
  </w:abstractNum>
  <w:abstractNum w:abstractNumId="3">
    <w:nsid w:val="D5D83C06"/>
    <w:multiLevelType w:val="multilevel"/>
    <w:tmpl w:val="D5D83C06"/>
    <w:lvl w:ilvl="0" w:tentative="0">
      <w:start w:val="1"/>
      <w:numFmt w:val="decimal"/>
      <w:lvlText w:val="%1"/>
      <w:lvlJc w:val="right"/>
      <w:pPr>
        <w:ind w:left="562" w:hanging="420"/>
      </w:pPr>
      <w:rPr>
        <w:rFonts w:hint="eastAsia" w:ascii="宋体" w:hAnsi="宋体" w:eastAsia="宋体" w:cs="宋体"/>
      </w:rPr>
    </w:lvl>
    <w:lvl w:ilvl="1" w:tentative="0">
      <w:start w:val="1"/>
      <w:numFmt w:val="lowerLetter"/>
      <w:lvlText w:val="%2)"/>
      <w:lvlJc w:val="left"/>
      <w:pPr>
        <w:ind w:left="1260" w:hanging="420"/>
      </w:pPr>
      <w:rPr>
        <w:rFonts w:hint="default" w:ascii="Times New Roman" w:hAnsi="Times New Roman" w:cs="Times New Roman"/>
      </w:rPr>
    </w:lvl>
    <w:lvl w:ilvl="2" w:tentative="0">
      <w:start w:val="1"/>
      <w:numFmt w:val="lowerRoman"/>
      <w:lvlText w:val="%3."/>
      <w:lvlJc w:val="right"/>
      <w:pPr>
        <w:ind w:left="1680" w:hanging="420"/>
      </w:pPr>
      <w:rPr>
        <w:rFonts w:hint="default" w:ascii="Times New Roman" w:hAnsi="Times New Roman" w:cs="Times New Roman"/>
      </w:rPr>
    </w:lvl>
    <w:lvl w:ilvl="3" w:tentative="0">
      <w:start w:val="1"/>
      <w:numFmt w:val="decimal"/>
      <w:lvlText w:val="%4."/>
      <w:lvlJc w:val="left"/>
      <w:pPr>
        <w:ind w:left="2100" w:hanging="420"/>
      </w:pPr>
      <w:rPr>
        <w:rFonts w:hint="default" w:ascii="Times New Roman" w:hAnsi="Times New Roman" w:cs="Times New Roman"/>
      </w:rPr>
    </w:lvl>
    <w:lvl w:ilvl="4" w:tentative="0">
      <w:start w:val="1"/>
      <w:numFmt w:val="lowerLetter"/>
      <w:lvlText w:val="%5)"/>
      <w:lvlJc w:val="left"/>
      <w:pPr>
        <w:ind w:left="2520" w:hanging="420"/>
      </w:pPr>
      <w:rPr>
        <w:rFonts w:hint="default" w:ascii="Times New Roman" w:hAnsi="Times New Roman" w:cs="Times New Roman"/>
      </w:rPr>
    </w:lvl>
    <w:lvl w:ilvl="5" w:tentative="0">
      <w:start w:val="1"/>
      <w:numFmt w:val="lowerRoman"/>
      <w:lvlText w:val="%6."/>
      <w:lvlJc w:val="right"/>
      <w:pPr>
        <w:ind w:left="2940" w:hanging="420"/>
      </w:pPr>
      <w:rPr>
        <w:rFonts w:hint="default" w:ascii="Times New Roman" w:hAnsi="Times New Roman" w:cs="Times New Roman"/>
      </w:rPr>
    </w:lvl>
    <w:lvl w:ilvl="6" w:tentative="0">
      <w:start w:val="1"/>
      <w:numFmt w:val="decimal"/>
      <w:lvlText w:val="%7."/>
      <w:lvlJc w:val="left"/>
      <w:pPr>
        <w:ind w:left="3360" w:hanging="420"/>
      </w:pPr>
      <w:rPr>
        <w:rFonts w:hint="default" w:ascii="Times New Roman" w:hAnsi="Times New Roman" w:cs="Times New Roman"/>
      </w:rPr>
    </w:lvl>
    <w:lvl w:ilvl="7" w:tentative="0">
      <w:start w:val="1"/>
      <w:numFmt w:val="lowerLetter"/>
      <w:lvlText w:val="%8)"/>
      <w:lvlJc w:val="left"/>
      <w:pPr>
        <w:ind w:left="3780" w:hanging="420"/>
      </w:pPr>
      <w:rPr>
        <w:rFonts w:hint="default" w:ascii="Times New Roman" w:hAnsi="Times New Roman" w:cs="Times New Roman"/>
      </w:rPr>
    </w:lvl>
    <w:lvl w:ilvl="8" w:tentative="0">
      <w:start w:val="1"/>
      <w:numFmt w:val="lowerRoman"/>
      <w:lvlText w:val="%9."/>
      <w:lvlJc w:val="right"/>
      <w:pPr>
        <w:ind w:left="4200" w:hanging="420"/>
      </w:pPr>
      <w:rPr>
        <w:rFonts w:hint="default" w:ascii="Times New Roman" w:hAnsi="Times New Roman" w:cs="Times New Roman"/>
      </w:rPr>
    </w:lvl>
  </w:abstractNum>
  <w:abstractNum w:abstractNumId="4">
    <w:nsid w:val="05A791C7"/>
    <w:multiLevelType w:val="singleLevel"/>
    <w:tmpl w:val="05A791C7"/>
    <w:lvl w:ilvl="0" w:tentative="0">
      <w:start w:val="3"/>
      <w:numFmt w:val="chineseCounting"/>
      <w:suff w:val="nothing"/>
      <w:lvlText w:val="%1、"/>
      <w:lvlJc w:val="left"/>
      <w:rPr>
        <w:rFonts w:hint="eastAsia"/>
      </w:rPr>
    </w:lvl>
  </w:abstractNum>
  <w:abstractNum w:abstractNumId="5">
    <w:nsid w:val="2F41DDE6"/>
    <w:multiLevelType w:val="multilevel"/>
    <w:tmpl w:val="2F41DDE6"/>
    <w:lvl w:ilvl="0" w:tentative="0">
      <w:start w:val="1"/>
      <w:numFmt w:val="decimal"/>
      <w:lvlText w:val="%1."/>
      <w:lvlJc w:val="left"/>
      <w:pPr>
        <w:tabs>
          <w:tab w:val="left" w:pos="420"/>
        </w:tabs>
        <w:ind w:left="420" w:hanging="420"/>
      </w:pPr>
      <w:rPr>
        <w:rFonts w:hint="eastAsia" w:ascii="宋体" w:hAnsi="宋体" w:eastAsia="宋体" w:cs="宋体"/>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abstractNum w:abstractNumId="6">
    <w:nsid w:val="30573E17"/>
    <w:multiLevelType w:val="multilevel"/>
    <w:tmpl w:val="30573E17"/>
    <w:lvl w:ilvl="0" w:tentative="0">
      <w:start w:val="1"/>
      <w:numFmt w:val="decimal"/>
      <w:lvlText w:val="%1"/>
      <w:lvlJc w:val="right"/>
      <w:pPr>
        <w:ind w:left="562" w:hanging="420"/>
      </w:pPr>
      <w:rPr>
        <w:rFonts w:hint="eastAsia" w:ascii="宋体" w:hAnsi="宋体" w:eastAsia="宋体" w:cs="宋体"/>
      </w:rPr>
    </w:lvl>
    <w:lvl w:ilvl="1" w:tentative="0">
      <w:start w:val="1"/>
      <w:numFmt w:val="lowerLetter"/>
      <w:lvlText w:val="%2)"/>
      <w:lvlJc w:val="left"/>
      <w:pPr>
        <w:ind w:left="1260" w:hanging="420"/>
      </w:pPr>
      <w:rPr>
        <w:rFonts w:hint="default" w:ascii="Times New Roman" w:hAnsi="Times New Roman" w:cs="Times New Roman"/>
      </w:rPr>
    </w:lvl>
    <w:lvl w:ilvl="2" w:tentative="0">
      <w:start w:val="1"/>
      <w:numFmt w:val="lowerRoman"/>
      <w:lvlText w:val="%3."/>
      <w:lvlJc w:val="right"/>
      <w:pPr>
        <w:ind w:left="1680" w:hanging="420"/>
      </w:pPr>
      <w:rPr>
        <w:rFonts w:hint="default" w:ascii="Times New Roman" w:hAnsi="Times New Roman" w:cs="Times New Roman"/>
      </w:rPr>
    </w:lvl>
    <w:lvl w:ilvl="3" w:tentative="0">
      <w:start w:val="1"/>
      <w:numFmt w:val="decimal"/>
      <w:lvlText w:val="%4."/>
      <w:lvlJc w:val="left"/>
      <w:pPr>
        <w:ind w:left="2100" w:hanging="420"/>
      </w:pPr>
      <w:rPr>
        <w:rFonts w:hint="default" w:ascii="Times New Roman" w:hAnsi="Times New Roman" w:cs="Times New Roman"/>
      </w:rPr>
    </w:lvl>
    <w:lvl w:ilvl="4" w:tentative="0">
      <w:start w:val="1"/>
      <w:numFmt w:val="lowerLetter"/>
      <w:lvlText w:val="%5)"/>
      <w:lvlJc w:val="left"/>
      <w:pPr>
        <w:ind w:left="2520" w:hanging="420"/>
      </w:pPr>
      <w:rPr>
        <w:rFonts w:hint="default" w:ascii="Times New Roman" w:hAnsi="Times New Roman" w:cs="Times New Roman"/>
      </w:rPr>
    </w:lvl>
    <w:lvl w:ilvl="5" w:tentative="0">
      <w:start w:val="1"/>
      <w:numFmt w:val="lowerRoman"/>
      <w:lvlText w:val="%6."/>
      <w:lvlJc w:val="right"/>
      <w:pPr>
        <w:ind w:left="2940" w:hanging="420"/>
      </w:pPr>
      <w:rPr>
        <w:rFonts w:hint="default" w:ascii="Times New Roman" w:hAnsi="Times New Roman" w:cs="Times New Roman"/>
      </w:rPr>
    </w:lvl>
    <w:lvl w:ilvl="6" w:tentative="0">
      <w:start w:val="1"/>
      <w:numFmt w:val="decimal"/>
      <w:lvlText w:val="%7."/>
      <w:lvlJc w:val="left"/>
      <w:pPr>
        <w:ind w:left="3360" w:hanging="420"/>
      </w:pPr>
      <w:rPr>
        <w:rFonts w:hint="default" w:ascii="Times New Roman" w:hAnsi="Times New Roman" w:cs="Times New Roman"/>
      </w:rPr>
    </w:lvl>
    <w:lvl w:ilvl="7" w:tentative="0">
      <w:start w:val="1"/>
      <w:numFmt w:val="lowerLetter"/>
      <w:lvlText w:val="%8)"/>
      <w:lvlJc w:val="left"/>
      <w:pPr>
        <w:ind w:left="3780" w:hanging="420"/>
      </w:pPr>
      <w:rPr>
        <w:rFonts w:hint="default" w:ascii="Times New Roman" w:hAnsi="Times New Roman" w:cs="Times New Roman"/>
      </w:rPr>
    </w:lvl>
    <w:lvl w:ilvl="8" w:tentative="0">
      <w:start w:val="1"/>
      <w:numFmt w:val="lowerRoman"/>
      <w:lvlText w:val="%9."/>
      <w:lvlJc w:val="right"/>
      <w:pPr>
        <w:ind w:left="4200" w:hanging="420"/>
      </w:pPr>
      <w:rPr>
        <w:rFonts w:hint="default" w:ascii="Times New Roman" w:hAnsi="Times New Roman" w:cs="Times New Roman"/>
      </w:rPr>
    </w:lvl>
  </w:abstractNum>
  <w:abstractNum w:abstractNumId="7">
    <w:nsid w:val="35B7FD81"/>
    <w:multiLevelType w:val="multilevel"/>
    <w:tmpl w:val="35B7FD81"/>
    <w:lvl w:ilvl="0" w:tentative="0">
      <w:start w:val="1"/>
      <w:numFmt w:val="decimal"/>
      <w:lvlText w:val="格式%1"/>
      <w:lvlJc w:val="left"/>
      <w:pPr>
        <w:tabs>
          <w:tab w:val="left" w:pos="426"/>
        </w:tabs>
        <w:ind w:left="1391" w:hanging="341"/>
      </w:pPr>
      <w:rPr>
        <w:rFonts w:hint="eastAsia" w:ascii="宋体" w:hAnsi="宋体" w:eastAsia="宋体" w:cs="宋体"/>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abstractNum w:abstractNumId="8">
    <w:nsid w:val="6D743988"/>
    <w:multiLevelType w:val="multilevel"/>
    <w:tmpl w:val="6D743988"/>
    <w:lvl w:ilvl="0" w:tentative="0">
      <w:start w:val="3"/>
      <w:numFmt w:val="decimal"/>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9">
    <w:nsid w:val="7DC42A1A"/>
    <w:multiLevelType w:val="multilevel"/>
    <w:tmpl w:val="7DC42A1A"/>
    <w:lvl w:ilvl="0" w:tentative="0">
      <w:start w:val="1"/>
      <w:numFmt w:val="decimal"/>
      <w:lvlText w:val="%1"/>
      <w:lvlJc w:val="left"/>
      <w:pPr>
        <w:ind w:left="420" w:hanging="420"/>
      </w:pPr>
      <w:rPr>
        <w:rFonts w:hint="eastAsia" w:ascii="宋体" w:hAnsi="宋体" w:eastAsia="宋体"/>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num w:numId="1">
    <w:abstractNumId w:val="8"/>
  </w:num>
  <w:num w:numId="2">
    <w:abstractNumId w:val="4"/>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1"/>
  </w:num>
  <w:num w:numId="7">
    <w:abstractNumId w:val="6"/>
  </w:num>
  <w:num w:numId="8">
    <w:abstractNumId w:val="7"/>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kNDY0MDJmYTczNWVjOGUyNzMwZmM5OGE4YzQzOWQifQ=="/>
  </w:docVars>
  <w:rsids>
    <w:rsidRoot w:val="55E0476C"/>
    <w:rsid w:val="1DFAC8FF"/>
    <w:rsid w:val="1FEF4092"/>
    <w:rsid w:val="25E06D3E"/>
    <w:rsid w:val="25EF7FFA"/>
    <w:rsid w:val="2C9E1DC6"/>
    <w:rsid w:val="30D24236"/>
    <w:rsid w:val="30D540AA"/>
    <w:rsid w:val="31DB7F06"/>
    <w:rsid w:val="37FE0B22"/>
    <w:rsid w:val="3F7AD67E"/>
    <w:rsid w:val="3FF57F89"/>
    <w:rsid w:val="3FF7538D"/>
    <w:rsid w:val="3FFCC01D"/>
    <w:rsid w:val="47F522A0"/>
    <w:rsid w:val="49177C78"/>
    <w:rsid w:val="4C534B03"/>
    <w:rsid w:val="4C8B2A95"/>
    <w:rsid w:val="54F385C5"/>
    <w:rsid w:val="55E0476C"/>
    <w:rsid w:val="56FDB77A"/>
    <w:rsid w:val="58EBEAC5"/>
    <w:rsid w:val="64386968"/>
    <w:rsid w:val="650618B9"/>
    <w:rsid w:val="66DB4B81"/>
    <w:rsid w:val="67DFD3EE"/>
    <w:rsid w:val="67FB4AC4"/>
    <w:rsid w:val="67FF9974"/>
    <w:rsid w:val="6B760DD1"/>
    <w:rsid w:val="6F6A75EB"/>
    <w:rsid w:val="703F5D7C"/>
    <w:rsid w:val="723333F1"/>
    <w:rsid w:val="73CADF60"/>
    <w:rsid w:val="73E20F28"/>
    <w:rsid w:val="75BBA5B4"/>
    <w:rsid w:val="77CA05B1"/>
    <w:rsid w:val="77FBFB2E"/>
    <w:rsid w:val="785F1626"/>
    <w:rsid w:val="7A0F3ECF"/>
    <w:rsid w:val="7AB7F55F"/>
    <w:rsid w:val="7C35688F"/>
    <w:rsid w:val="7D436200"/>
    <w:rsid w:val="7DCD34EF"/>
    <w:rsid w:val="7EDF4A66"/>
    <w:rsid w:val="7EFF5ED1"/>
    <w:rsid w:val="7F6F9197"/>
    <w:rsid w:val="7FFE4407"/>
    <w:rsid w:val="9CF7192D"/>
    <w:rsid w:val="AFEA86F5"/>
    <w:rsid w:val="B5F9166B"/>
    <w:rsid w:val="BFD6E562"/>
    <w:rsid w:val="C77AA350"/>
    <w:rsid w:val="CFD60177"/>
    <w:rsid w:val="D8BDD73B"/>
    <w:rsid w:val="DD6CF6E0"/>
    <w:rsid w:val="EFFB2771"/>
    <w:rsid w:val="F65753E1"/>
    <w:rsid w:val="F6BF076A"/>
    <w:rsid w:val="F6FECE70"/>
    <w:rsid w:val="F70FEF95"/>
    <w:rsid w:val="FBBBDA9C"/>
    <w:rsid w:val="FBEF64DB"/>
    <w:rsid w:val="FBFB71F4"/>
    <w:rsid w:val="FDF7B4B3"/>
    <w:rsid w:val="FE7D987A"/>
    <w:rsid w:val="FFBCE8C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widowControl w:val="0"/>
      <w:suppressLineNumbers w:val="0"/>
      <w:spacing w:before="340" w:beforeAutospacing="0" w:after="330" w:afterAutospacing="0" w:line="576" w:lineRule="auto"/>
      <w:jc w:val="both"/>
      <w:outlineLvl w:val="0"/>
    </w:pPr>
    <w:rPr>
      <w:rFonts w:hint="default" w:ascii="Times New Roman" w:hAnsi="Times New Roman" w:eastAsia="宋体" w:cs="Times New Roman"/>
      <w:b/>
      <w:bCs/>
      <w:kern w:val="44"/>
      <w:sz w:val="44"/>
      <w:szCs w:val="44"/>
      <w:lang w:val="en-US" w:eastAsia="zh-CN" w:bidi="ar"/>
    </w:rPr>
  </w:style>
  <w:style w:type="paragraph" w:styleId="3">
    <w:name w:val="heading 4"/>
    <w:basedOn w:val="1"/>
    <w:next w:val="1"/>
    <w:semiHidden/>
    <w:unhideWhenUsed/>
    <w:qFormat/>
    <w:uiPriority w:val="0"/>
    <w:pPr>
      <w:keepNext/>
      <w:keepLines/>
      <w:widowControl w:val="0"/>
      <w:suppressLineNumbers w:val="0"/>
      <w:spacing w:before="280" w:beforeAutospacing="0" w:after="290" w:afterAutospacing="0" w:line="372" w:lineRule="auto"/>
      <w:jc w:val="both"/>
      <w:outlineLvl w:val="3"/>
    </w:pPr>
    <w:rPr>
      <w:rFonts w:hint="eastAsia" w:ascii="等线 Light" w:hAnsi="等线 Light" w:eastAsia="等线 Light" w:cs="Times New Roman"/>
      <w:b/>
      <w:bCs/>
      <w:kern w:val="2"/>
      <w:sz w:val="28"/>
      <w:szCs w:val="28"/>
      <w:lang w:val="en-US" w:eastAsia="zh-CN" w:bidi="ar"/>
    </w:rPr>
  </w:style>
  <w:style w:type="character" w:default="1" w:styleId="13">
    <w:name w:val="Default Paragraph Font"/>
    <w:semiHidden/>
    <w:qFormat/>
    <w:uiPriority w:val="0"/>
  </w:style>
  <w:style w:type="table" w:default="1" w:styleId="12">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Normal Indent"/>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eastAsia="宋体" w:cs="Times New Roman"/>
      <w:kern w:val="2"/>
      <w:sz w:val="21"/>
      <w:szCs w:val="21"/>
      <w:lang w:val="en-US" w:eastAsia="zh-CN" w:bidi="ar"/>
    </w:rPr>
  </w:style>
  <w:style w:type="paragraph" w:styleId="5">
    <w:name w:val="toa heading"/>
    <w:basedOn w:val="1"/>
    <w:next w:val="1"/>
    <w:qFormat/>
    <w:uiPriority w:val="0"/>
    <w:pPr>
      <w:keepNext w:val="0"/>
      <w:keepLines w:val="0"/>
      <w:widowControl w:val="0"/>
      <w:suppressLineNumbers w:val="0"/>
      <w:spacing w:before="120" w:beforeLines="0" w:beforeAutospacing="0"/>
      <w:jc w:val="both"/>
    </w:pPr>
    <w:rPr>
      <w:rFonts w:hint="default" w:ascii="Arial" w:hAnsi="Arial" w:eastAsia="宋体" w:cs="Times New Roman"/>
      <w:kern w:val="2"/>
      <w:sz w:val="24"/>
      <w:szCs w:val="24"/>
      <w:lang w:val="en-US" w:eastAsia="zh-CN" w:bidi="ar"/>
    </w:rPr>
  </w:style>
  <w:style w:type="paragraph" w:styleId="6">
    <w:name w:val="Body Text"/>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4"/>
      <w:lang w:val="en-US" w:eastAsia="zh-CN" w:bidi="ar"/>
    </w:rPr>
  </w:style>
  <w:style w:type="paragraph" w:styleId="7">
    <w:name w:val="Body Text Indent"/>
    <w:basedOn w:val="1"/>
    <w:qFormat/>
    <w:uiPriority w:val="0"/>
    <w:pPr>
      <w:keepNext w:val="0"/>
      <w:keepLines w:val="0"/>
      <w:widowControl w:val="0"/>
      <w:suppressLineNumbers w:val="0"/>
      <w:spacing w:before="0" w:beforeAutospacing="0" w:after="0" w:afterAutospacing="0"/>
      <w:ind w:left="0" w:right="0" w:firstLine="570"/>
      <w:jc w:val="both"/>
    </w:pPr>
    <w:rPr>
      <w:rFonts w:hint="eastAsia" w:ascii="宋体" w:hAnsi="宋体" w:eastAsia="宋体" w:cs="宋体"/>
      <w:kern w:val="2"/>
      <w:sz w:val="28"/>
      <w:szCs w:val="28"/>
      <w:lang w:val="en-US" w:eastAsia="zh-CN" w:bidi="ar"/>
    </w:rPr>
  </w:style>
  <w:style w:type="paragraph" w:styleId="8">
    <w:name w:val="Plain Text"/>
    <w:basedOn w:val="1"/>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Courier New"/>
      <w:kern w:val="2"/>
      <w:sz w:val="21"/>
      <w:szCs w:val="21"/>
      <w:lang w:val="en-US" w:eastAsia="zh-CN" w:bidi="ar"/>
    </w:rPr>
  </w:style>
  <w:style w:type="paragraph" w:styleId="9">
    <w:name w:val="footer"/>
    <w:basedOn w:val="1"/>
    <w:unhideWhenUsed/>
    <w:qFormat/>
    <w:uiPriority w:val="99"/>
    <w:pPr>
      <w:tabs>
        <w:tab w:val="center" w:pos="4153"/>
        <w:tab w:val="right" w:pos="8306"/>
      </w:tabs>
      <w:snapToGrid w:val="0"/>
      <w:jc w:val="left"/>
    </w:pPr>
    <w:rPr>
      <w:kern w:val="0"/>
      <w:sz w:val="18"/>
      <w:szCs w:val="18"/>
    </w:rPr>
  </w:style>
  <w:style w:type="paragraph" w:styleId="10">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1">
    <w:name w:val="Normal (Web)"/>
    <w:basedOn w:val="1"/>
    <w:qFormat/>
    <w:uiPriority w:val="0"/>
    <w:pPr>
      <w:widowControl/>
      <w:spacing w:before="0" w:beforeAutospacing="1" w:after="0" w:afterAutospacing="1"/>
      <w:ind w:left="0" w:right="0"/>
      <w:jc w:val="left"/>
    </w:pPr>
    <w:rPr>
      <w:rFonts w:ascii="宋体" w:hAnsi="宋体" w:eastAsia="宋体" w:cs="宋体"/>
      <w:kern w:val="0"/>
      <w:sz w:val="24"/>
      <w:szCs w:val="24"/>
      <w:lang w:val="en-US" w:eastAsia="zh-CN" w:bidi="ar"/>
    </w:rPr>
  </w:style>
  <w:style w:type="character" w:styleId="14">
    <w:name w:val="Hyperlink"/>
    <w:basedOn w:val="13"/>
    <w:qFormat/>
    <w:uiPriority w:val="0"/>
    <w:rPr>
      <w:color w:val="0000FF"/>
      <w:u w:val="single"/>
    </w:rPr>
  </w:style>
  <w:style w:type="paragraph" w:customStyle="1" w:styleId="15">
    <w:name w:val="null3"/>
    <w:basedOn w:val="1"/>
    <w:qFormat/>
    <w:uiPriority w:val="0"/>
    <w:pPr>
      <w:keepNext w:val="0"/>
      <w:keepLines w:val="0"/>
      <w:widowControl/>
      <w:suppressLineNumbers w:val="0"/>
      <w:spacing w:before="0" w:beforeAutospacing="0" w:after="0" w:afterAutospacing="0"/>
      <w:ind w:left="0" w:right="0"/>
      <w:jc w:val="left"/>
    </w:pPr>
    <w:rPr>
      <w:rFonts w:hint="eastAsia" w:ascii="Calibri" w:hAnsi="Calibri" w:eastAsia="宋体" w:cs="Times New Roman"/>
      <w:kern w:val="0"/>
      <w:sz w:val="24"/>
      <w:szCs w:val="24"/>
      <w:lang w:val="en-US" w:eastAsia="zh-CN" w:bidi="ar"/>
    </w:rPr>
  </w:style>
  <w:style w:type="paragraph" w:customStyle="1" w:styleId="16">
    <w:name w:val="表格文字"/>
    <w:basedOn w:val="1"/>
    <w:qFormat/>
    <w:uiPriority w:val="0"/>
    <w:pPr>
      <w:keepNext w:val="0"/>
      <w:keepLines w:val="0"/>
      <w:widowControl w:val="0"/>
      <w:suppressLineNumbers w:val="0"/>
      <w:spacing w:before="25" w:beforeAutospacing="0" w:after="25" w:afterAutospacing="0"/>
      <w:jc w:val="left"/>
    </w:pPr>
    <w:rPr>
      <w:rFonts w:hint="default" w:ascii="Times New Roman" w:hAnsi="Times New Roman" w:eastAsia="宋体" w:cs="Times New Roman"/>
      <w:bCs/>
      <w:spacing w:val="10"/>
      <w:kern w:val="0"/>
      <w:sz w:val="24"/>
      <w:szCs w:val="24"/>
      <w:lang w:val="en-US" w:eastAsia="zh-CN" w:bidi="ar"/>
    </w:rPr>
  </w:style>
  <w:style w:type="paragraph" w:customStyle="1" w:styleId="17">
    <w:name w:val="Table Text"/>
    <w:basedOn w:val="1"/>
    <w:qFormat/>
    <w:uiPriority w:val="0"/>
    <w:pPr>
      <w:keepNext w:val="0"/>
      <w:keepLines w:val="0"/>
      <w:widowControl w:val="0"/>
      <w:suppressLineNumbers w:val="0"/>
      <w:kinsoku w:val="0"/>
      <w:autoSpaceDE w:val="0"/>
      <w:autoSpaceDN w:val="0"/>
      <w:adjustRightInd w:val="0"/>
      <w:snapToGrid w:val="0"/>
      <w:spacing w:before="0" w:beforeAutospacing="0" w:after="0" w:afterAutospacing="0"/>
      <w:ind w:left="0" w:right="0"/>
      <w:jc w:val="left"/>
      <w:textAlignment w:val="baseline"/>
    </w:pPr>
    <w:rPr>
      <w:rFonts w:hint="eastAsia" w:ascii="微软雅黑" w:hAnsi="微软雅黑" w:eastAsia="微软雅黑" w:cs="微软雅黑"/>
      <w:color w:val="000000"/>
      <w:kern w:val="0"/>
      <w:sz w:val="18"/>
      <w:szCs w:val="18"/>
      <w:lang w:val="en-US" w:eastAsia="zh-CN" w:bidi="ar"/>
    </w:rPr>
  </w:style>
  <w:style w:type="paragraph" w:customStyle="1" w:styleId="18">
    <w:name w:val="样式 11 10 磅"/>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1"/>
      <w:lang w:val="en-US" w:eastAsia="zh-CN" w:bidi="ar"/>
    </w:rPr>
  </w:style>
  <w:style w:type="paragraph" w:customStyle="1" w:styleId="19">
    <w:name w:val="正文 New New New New New New"/>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1"/>
      <w:lang w:val="en-US" w:eastAsia="zh-CN" w:bidi="ar"/>
    </w:rPr>
  </w:style>
  <w:style w:type="paragraph" w:customStyle="1" w:styleId="20">
    <w:name w:val="正文 New New New New New"/>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1"/>
      <w:lang w:val="en-US" w:eastAsia="zh-CN" w:bidi="ar"/>
    </w:rPr>
  </w:style>
  <w:style w:type="table" w:customStyle="1" w:styleId="21">
    <w:name w:val="Table Normal"/>
    <w:basedOn w:val="12"/>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0" w:type="dxa"/>
        <w:bottom w:w="0" w:type="dxa"/>
        <w:right w:w="0" w:type="dxa"/>
      </w:tblCellMar>
    </w:tblPr>
  </w:style>
  <w:style w:type="paragraph" w:customStyle="1" w:styleId="22">
    <w:name w:val="列出段落"/>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Calibri"/>
      <w:kern w:val="2"/>
      <w:sz w:val="21"/>
      <w:szCs w:val="21"/>
      <w:lang w:val="en-US" w:eastAsia="zh-CN" w:bidi="ar"/>
    </w:rPr>
  </w:style>
  <w:style w:type="character" w:customStyle="1" w:styleId="23">
    <w:name w:val="15"/>
    <w:basedOn w:val="13"/>
    <w:qFormat/>
    <w:uiPriority w:val="0"/>
    <w:rPr>
      <w:rFonts w:hint="default" w:ascii="_x000B__x000C_" w:hAnsi="_x000B__x000C_" w:eastAsia="_x000B__x000C_" w:cs="_x000B__x000C_"/>
      <w:sz w:val="18"/>
      <w:szCs w:val="18"/>
    </w:rPr>
  </w:style>
  <w:style w:type="character" w:customStyle="1" w:styleId="24">
    <w:name w:val="10"/>
    <w:basedOn w:val="13"/>
    <w:qFormat/>
    <w:uiPriority w:val="0"/>
    <w:rPr>
      <w:rFonts w:hint="default" w:ascii="Times New Roman" w:hAnsi="Times New Roman" w:cs="Times New Roman"/>
    </w:rPr>
  </w:style>
  <w:style w:type="paragraph" w:customStyle="1" w:styleId="25">
    <w:name w:val="_Style 3"/>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eastAsia="宋体" w:cs="Times New Roman"/>
      <w:kern w:val="2"/>
      <w:sz w:val="20"/>
      <w:szCs w:val="20"/>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47</Pages>
  <Words>8938</Words>
  <Characters>9583</Characters>
  <Lines>1</Lines>
  <Paragraphs>1</Paragraphs>
  <TotalTime>7</TotalTime>
  <ScaleCrop>false</ScaleCrop>
  <LinksUpToDate>false</LinksUpToDate>
  <CharactersWithSpaces>9807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2025-05-06T14:26:00Z</dcterms:created>
  <dc:creator>Penny</dc:creator>
  <cp:lastModifiedBy>张莹莹</cp:lastModifiedBy>
  <dcterms:modified xsi:type="dcterms:W3CDTF">2025-11-26T03:44:48Z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F4BFB41F60834657B7A3A04AAEF0A717_13</vt:lpwstr>
  </property>
  <property fmtid="{D5CDD505-2E9C-101B-9397-08002B2CF9AE}" pid="4" name="KSOTemplateDocerSaveRecord">
    <vt:lpwstr>eyJoZGlkIjoiMDBhMWJlNDcyZjVhZDkwNzRjODIxMDNkNjEzZjZmMDAiLCJ1c2VySWQiOiIxNDMxNjUwNzgyIn0=</vt:lpwstr>
  </property>
</Properties>
</file>